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独立行政法人労働政策研究・研修機構の業務運営、財務及び会計並びに人事管理に関する省令</w:t>
        <w:br/>
        <w:t>（平成十五年厚生労働省令第百五十一号）</w:t>
      </w:r>
    </w:p>
    <w:p>
      <w:pPr>
        <w:pStyle w:val="Heading4"/>
      </w:pPr>
      <w:r>
        <w:t>第一条（通則法第八条第三項の主務省令で定める重要な財産）</w:t>
      </w:r>
    </w:p>
    <w:p>
      <w:r>
        <w:t>独立行政法人労働政策研究・研修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労働政策研究・研修機構法（以下「機構法」という。）及びこの省令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ListBullet"/>
        <w:ind w:left="880"/>
      </w:pPr>
      <w:r>
        <w:t>一</w:t>
        <w:br/>
        <w:t>機構法第十二条第一号に規定する調査及び研究に関する事項</w:t>
      </w:r>
    </w:p>
    <w:p>
      <w:pPr>
        <w:pStyle w:val="ListBullet"/>
        <w:ind w:left="880"/>
      </w:pPr>
      <w:r>
        <w:t>二</w:t>
        <w:br/>
        <w:t>機構法第十二条第二号に規定する収集及び整理に関する事項</w:t>
      </w:r>
    </w:p>
    <w:p>
      <w:pPr>
        <w:pStyle w:val="ListBullet"/>
        <w:ind w:left="880"/>
      </w:pPr>
      <w:r>
        <w:t>三</w:t>
        <w:br/>
        <w:t>機構法第十二条第三号に規定する招へい及び派遣に関する事項</w:t>
      </w:r>
    </w:p>
    <w:p>
      <w:pPr>
        <w:pStyle w:val="ListBullet"/>
        <w:ind w:left="880"/>
      </w:pPr>
      <w:r>
        <w:t>四</w:t>
        <w:br/>
        <w:t>機構法第十二条第四号に規定する成果の普及及び政策の提言に関する事項</w:t>
      </w:r>
    </w:p>
    <w:p>
      <w:pPr>
        <w:pStyle w:val="ListBullet"/>
        <w:ind w:left="880"/>
      </w:pPr>
      <w:r>
        <w:t>五</w:t>
        <w:br/>
        <w:t>機構法第十二条第五号に規定する研修に関する事項</w:t>
      </w:r>
    </w:p>
    <w:p>
      <w:pPr>
        <w:pStyle w:val="ListBullet"/>
        <w:ind w:left="880"/>
      </w:pPr>
      <w:r>
        <w:t>六</w:t>
        <w:br/>
        <w:t>機構法第十二条第六号に規定する附帯業務に関する事項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機構法第十四条第一項に規定する積立金の処分に関する事項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第九条（区分経理の方法）</w:t>
      </w:r>
    </w:p>
    <w:p>
      <w:r>
        <w:t>機構は、労働者災害補償保険法（昭和二十二年法律第五十号）による労働者災害補償保険事業として行われる業務に係る経理及び雇用保険法（昭和四十九年法律第百十六号）による雇用保険事業として行われる業務に係る経理については、その他のものに係る経理と区分し、それぞれ特別の勘定を設けて整理しなければならない。</w:t>
      </w:r>
    </w:p>
    <w:p>
      <w:pPr>
        <w:pStyle w:val="Heading4"/>
      </w:pPr>
      <w:r>
        <w:t>第十条（共通経費の配賦基準）</w:t>
      </w:r>
    </w:p>
    <w:p>
      <w:r>
        <w:t>機構は、機構法第十三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関する基準を定め、これを厚生労働大臣に届け出ることにより、当該基準に従って、事業年度の期間中一括して経理し、当該事業年度の末日現在において各勘定に配分することにより経理することができる。</w:t>
      </w:r>
    </w:p>
    <w:p>
      <w:pPr>
        <w:pStyle w:val="Heading4"/>
      </w:pPr>
      <w:r>
        <w:t>第十一条（償却資産の指定等）</w:t>
      </w:r>
    </w:p>
    <w:p>
      <w:r>
        <w:t>厚生労働大臣は、機構が業務のため保有する償却資産についてその減価に対応すべき収益の獲得が予定されないと認められる場合には、当該償却資産を指定することができる。</w:t>
      </w:r>
    </w:p>
    <w:p>
      <w:pPr>
        <w:pStyle w:val="Heading5"/>
        <w:ind w:left="440"/>
      </w:pPr>
      <w:r>
        <w:t>２</w:t>
      </w:r>
    </w:p>
    <w:p>
      <w:pPr>
        <w:ind w:left="440"/>
      </w:pPr>
      <w:r>
        <w:t>前項の指定を受けた資産の減価については、損益計算上の費用には計上せず、当該資産の減価相当額を資本剰余金から減額して整理するものとする。</w:t>
      </w:r>
    </w:p>
    <w:p>
      <w:pPr>
        <w:pStyle w:val="Heading4"/>
      </w:pPr>
      <w:r>
        <w:t>第十一条の二（譲渡差額を損益計算上の損益に計上しない譲渡取引）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第十三条（財務諸表等の閲覧期間）</w:t>
      </w:r>
    </w:p>
    <w:p>
      <w:r>
        <w:t>機構に係る通則法第三十八条第三項の主務省令で定める期間は、五年とする。</w:t>
      </w:r>
    </w:p>
    <w:p>
      <w:pPr>
        <w:pStyle w:val="Heading4"/>
      </w:pPr>
      <w:r>
        <w:t>第十四条（短期借入金の認可の申請）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第十五条（通則法第四十八条の主務省令で定める重要な財産）</w:t>
      </w:r>
    </w:p>
    <w:p>
      <w:r>
        <w:t>機構に係る通則法第四十八条の主務省令で定める重要な財産は、次に掲げるものとする。</w:t>
      </w:r>
    </w:p>
    <w:p>
      <w:pPr>
        <w:pStyle w:val="ListBullet"/>
        <w:ind w:left="880"/>
      </w:pPr>
      <w:r>
        <w:t>一</w:t>
        <w:br/>
        <w:t>土地及び建物</w:t>
      </w:r>
    </w:p>
    <w:p>
      <w:pPr>
        <w:pStyle w:val="ListBullet"/>
        <w:ind w:left="880"/>
      </w:pPr>
      <w:r>
        <w:t>二</w:t>
        <w:br/>
        <w:t>その他厚生労働大臣が指定する財産</w:t>
      </w:r>
    </w:p>
    <w:p>
      <w:pPr>
        <w:pStyle w:val="Heading4"/>
      </w:pPr>
      <w:r>
        <w:t>第十六条（通則法第四十八条の主務省令で定める重要な財産の処分等の認可の申請）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第十六条の二（内部組織）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第十七条（積立金の処分に係る承認申請書の添付書類）</w:t>
      </w:r>
    </w:p>
    <w:p>
      <w:r>
        <w:t>機構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r>
        <w:br w:type="page"/>
      </w:r>
    </w:p>
    <w:p>
      <w:pPr>
        <w:pStyle w:val="Heading1"/>
      </w:pPr>
      <w:r>
        <w:t>附　則</w:t>
      </w:r>
    </w:p>
    <w:p>
      <w:pPr>
        <w:pStyle w:val="Heading4"/>
      </w:pPr>
      <w:r>
        <w:t>第一条（施行期日）</w:t>
      </w:r>
    </w:p>
    <w:p>
      <w:r>
        <w:t>この省令は、公布の日から施行する。</w:t>
        <w:br/>
        <w:t>ただし、附則第三条から第六条までの規定は、平成十五年十月一日から施行する。</w:t>
      </w:r>
    </w:p>
    <w:p>
      <w:pPr>
        <w:pStyle w:val="Heading4"/>
      </w:pPr>
      <w:r>
        <w:t>第二条（承継時の償却資産に関する経過措置）</w:t>
      </w:r>
    </w:p>
    <w:p>
      <w:r>
        <w:t>機構の成立の際機構法附則第八条第二項及び第十条第六項の規定により政府から出資があったものとされた償却資産については、第十一条第一項の指定を受けたものとみなして、同条第二項の規定を適用する。</w:t>
      </w:r>
    </w:p>
    <w:p>
      <w:pPr>
        <w:pStyle w:val="Heading4"/>
      </w:pPr>
      <w:r>
        <w:t>第三条（日本労働研究機構の財務及び会計に関する省令等の廃止）</w:t>
      </w:r>
    </w:p>
    <w:p>
      <w:r>
        <w:t>次に掲げる省令は、廃止する。</w:t>
      </w:r>
    </w:p>
    <w:p>
      <w:pPr>
        <w:pStyle w:val="ListBullet"/>
        <w:ind w:left="880"/>
      </w:pPr>
      <w:r>
        <w:t>一</w:t>
        <w:br/>
        <w:t>日本労働研究機構の財務及び会計に関する省令（昭和三十三年労働省令第二十一号）</w:t>
      </w:r>
    </w:p>
    <w:p>
      <w:pPr>
        <w:pStyle w:val="ListBullet"/>
        <w:ind w:left="880"/>
      </w:pPr>
      <w:r>
        <w:t>二</w:t>
        <w:br/>
        <w:t>労働研修所研修規則（昭和三十九年労働省令第十五号）</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一から四まで</w:t>
        <w:br/>
        <w:t>略</w:t>
      </w:r>
    </w:p>
    <w:p>
      <w:pPr>
        <w:pStyle w:val="ListBullet"/>
        <w:ind w:left="880"/>
      </w:pPr>
      <w:r>
        <w:t>五</w:t>
        <w:br/>
        <w:t>新労働政策研究・研修機構財会省令第十二条の二第三項</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一から三まで</w:t>
        <w:br/>
        <w:t>略</w:t>
      </w:r>
    </w:p>
    <w:p>
      <w:pPr>
        <w:pStyle w:val="ListBullet"/>
        <w:ind w:left="880"/>
      </w:pPr>
      <w:r>
        <w:t>四</w:t>
        <w:br/>
        <w:t>第四条の規定による改正後の独立行政法人労働政策研究・研修機構の業務運営、財務及び会計並びに人事管理に関する省令第十二条及び第十二条の二第二項</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独立行政法人労働政策研究・研修機構の業務運営、財務及び会計並びに人事管理に関する省令</w:t>
      <w:br/>
      <w:tab/>
      <w:t>（平成十五年厚生労働省令第百五十一号）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独立行政法人労働政策研究・研修機構の業務運営、財務及び会計並びに人事管理に関する省令（平成十五年厚生労働省令第百五十一号）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