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独立行政法人労働政策研究・研修機構法</w:t>
        <w:br/>
        <w:t>（平成十四年法律第百六十九号）</w:t>
      </w:r>
    </w:p>
    <w:p>
      <w:pPr>
        <w:pStyle w:val="Heading2"/>
      </w:pPr>
      <w:r>
        <w:t>第一章　総則</w:t>
      </w:r>
    </w:p>
    <w:p>
      <w:pPr>
        <w:pStyle w:val="Heading4"/>
      </w:pPr>
      <w:r>
        <w:t>第一条（目的）</w:t>
      </w:r>
    </w:p>
    <w:p>
      <w:r>
        <w:t>この法律は、独立行政法人労働政策研究・研修機構の名称、目的、業務の範囲等に関する事項を定めることを目的とする。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労働政策研究・研修機構とする。</w:t>
      </w:r>
    </w:p>
    <w:p>
      <w:pPr>
        <w:pStyle w:val="Heading4"/>
      </w:pPr>
      <w:r>
        <w:t>第三条（機構の目的）</w:t>
      </w:r>
    </w:p>
    <w:p>
      <w:r>
        <w:t>独立行政法人労働政策研究・研修機構（以下「機構」という。）は、内外の労働に関する事情及び労働政策についての総合的な調査及び研究等並びにその成果の普及を行うとともに、その成果を活用して厚生労働省の労働に関する事務を担当する職員その他の関係者に対する研修を行うことにより、我が国の労働政策の立案及びその効果的かつ効率的な推進に寄与し、もって労働者の福祉の増進と経済の発展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機構の資本金は、附則第八条第二項及び第十条第六項の規定により政府から出資があったものとされた金額の合計額とする。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第九条（理事長及び理事の欠格条項の特例）</w:t>
      </w:r>
    </w:p>
    <w:p>
      <w:r>
        <w:t>通則法第二十二条の規定にかかわらず、教育公務員で政令で定めるものは、理事長又は理事となることができる。</w:t>
      </w:r>
    </w:p>
    <w:p>
      <w:pPr>
        <w:pStyle w:val="Heading5"/>
        <w:ind w:left="440"/>
      </w:pPr>
      <w:r>
        <w:t>２</w:t>
      </w:r>
    </w:p>
    <w:p>
      <w:pPr>
        <w:ind w:left="440"/>
      </w:pPr>
      <w:r>
        <w:t>機構の理事長及び理事の解任に関する通則法第二十三条第一項の規定の適用については、同項中「前条」とあるのは、「前条及び独立行政法人労働政策研究・研修機構法第九条第一項」とする。</w:t>
      </w:r>
    </w:p>
    <w:p>
      <w:pPr>
        <w:pStyle w:val="Heading4"/>
      </w:pPr>
      <w:r>
        <w:t>第十条（役員及び職員の秘密保持義務）</w:t>
      </w:r>
    </w:p>
    <w:p>
      <w:r>
        <w:t>機構の役員及び職員は、第十二条第五号に掲げる業務に係る職務に関して知ることのできた秘密を漏らしてはならない。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ListBullet"/>
        <w:ind w:left="880"/>
      </w:pPr>
      <w:r>
        <w:t>一</w:t>
        <w:br/>
        <w:t>内外の労働に関する事情及び労働政策についての総合的な調査及び研究を行うこと。</w:t>
      </w:r>
    </w:p>
    <w:p>
      <w:pPr>
        <w:pStyle w:val="ListBullet"/>
        <w:ind w:left="880"/>
      </w:pPr>
      <w:r>
        <w:t>二</w:t>
        <w:br/>
        <w:t>内外の労働に関する事情及び労働政策についての情報及び資料を収集し、及び整理すること。</w:t>
      </w:r>
    </w:p>
    <w:p>
      <w:pPr>
        <w:pStyle w:val="ListBullet"/>
        <w:ind w:left="880"/>
      </w:pPr>
      <w:r>
        <w:t>三</w:t>
        <w:br/>
        <w:t>第一号に掲げる業務の促進のため、労働に関する問題についての研究者及び有識者を海外から招へいし、及び海外に派遣すること。</w:t>
      </w:r>
    </w:p>
    <w:p>
      <w:pPr>
        <w:pStyle w:val="ListBullet"/>
        <w:ind w:left="880"/>
      </w:pPr>
      <w:r>
        <w:t>四</w:t>
        <w:br/>
        <w:t>前三号に掲げる業務に係る成果の普及及び政策の提言を行うこと。</w:t>
      </w:r>
    </w:p>
    <w:p>
      <w:pPr>
        <w:pStyle w:val="ListBullet"/>
        <w:ind w:left="880"/>
      </w:pPr>
      <w:r>
        <w:t>五</w:t>
        <w:br/>
        <w:t>厚生労働省の労働に関する事務を担当する職員その他の関係者に対する研修を行うこと。</w:t>
      </w:r>
    </w:p>
    <w:p>
      <w:pPr>
        <w:pStyle w:val="ListBullet"/>
        <w:ind w:left="880"/>
      </w:pPr>
      <w:r>
        <w:t>六</w:t>
        <w:br/>
        <w:t>前各号の業務に附帯する業務を行うこと。</w:t>
      </w:r>
    </w:p>
    <w:p>
      <w:pPr>
        <w:pStyle w:val="Heading4"/>
      </w:pPr>
      <w:r>
        <w:t>第十三条（区分経理）</w:t>
      </w:r>
    </w:p>
    <w:p>
      <w:r>
        <w:t>機構は、前条に規定する業務のうち労働者災害補償保険法（昭和二十二年法律第五十号）による労働者災害補償保険事業として行われるものに係る経理、雇用保険法（昭和四十九年法律第百十六号）による雇用保険事業として行われるものに係る経理及びその他のものに係る経理をそれぞれ区分して整理しなければならない。</w:t>
      </w:r>
    </w:p>
    <w:p>
      <w:pPr>
        <w:pStyle w:val="Heading4"/>
      </w:pPr>
      <w:r>
        <w:t>第十四条（積立金の処分）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厚生労働大臣は、前項の規定による承認をしようとするときは、財務大臣に協議しなければならない。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第十五条（主務大臣等）</w:t>
      </w:r>
    </w:p>
    <w:p>
      <w:r>
        <w:t>機構に係る通則法における主務大臣及び主務省令は、それぞれ厚生労働大臣及び厚生労働省令とする。</w:t>
      </w:r>
    </w:p>
    <w:p>
      <w:pPr>
        <w:pStyle w:val="Heading4"/>
      </w:pPr>
      <w:r>
        <w:t>第十六条</w:t>
      </w:r>
    </w:p>
    <w:p>
      <w:r>
        <w:t>削除</w:t>
      </w:r>
    </w:p>
    <w:p>
      <w:pPr>
        <w:pStyle w:val="Heading2"/>
      </w:pPr>
      <w:r>
        <w:t>第五章　罰則</w:t>
      </w:r>
    </w:p>
    <w:p>
      <w:pPr>
        <w:pStyle w:val="Heading4"/>
      </w:pPr>
      <w:r>
        <w:t>第十七条</w:t>
      </w:r>
    </w:p>
    <w:p>
      <w:r>
        <w:t>第十条の規定に違反して秘密を漏らした者は、一年以下の懲役又は五十万円以下の罰金に処する。</w:t>
      </w:r>
    </w:p>
    <w:p>
      <w:pPr>
        <w:pStyle w:val="Heading4"/>
      </w:pPr>
      <w:r>
        <w:t>第十八条</w:t>
      </w:r>
    </w:p>
    <w:p>
      <w:r>
        <w:t>次の各号のいずれかに該当する場合には、その違反行為をした機構の役員は、二十万円以下の過料に処する。</w:t>
      </w:r>
    </w:p>
    <w:p>
      <w:pPr>
        <w:pStyle w:val="ListBullet"/>
        <w:ind w:left="880"/>
      </w:pPr>
      <w:r>
        <w:t>一</w:t>
        <w:br/>
        <w:t>第十二条に規定する業務以外の業務を行ったとき。</w:t>
      </w:r>
    </w:p>
    <w:p>
      <w:pPr>
        <w:pStyle w:val="ListBullet"/>
        <w:ind w:left="880"/>
      </w:pPr>
      <w:r>
        <w:t>二</w:t>
        <w:br/>
        <w:t>第十四条第一項の規定により厚生労働大臣の承認を受けなければならない場合において、その承認を受けなかったとき。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br/>
        <w:t>ただし、附則第十一条から第十三条まで及び第十五条から第十八条までの規定は、平成十五年十月一日から施行する。</w:t>
      </w:r>
    </w:p>
    <w:p>
      <w:pPr>
        <w:pStyle w:val="Heading4"/>
      </w:pPr>
      <w:r>
        <w:t>第二条（職員の引継ぎ等）</w:t>
      </w:r>
    </w:p>
    <w:p>
      <w:r>
        <w:t>機構の成立の際現に厚生労働省の部局又は機関で政令で定めるものの職員である者は、別に辞令を発せられない限り、機構の成立の日において、機構の職員となるものとする。</w:t>
      </w:r>
    </w:p>
    <w:p>
      <w:pPr>
        <w:pStyle w:val="Heading4"/>
      </w:pPr>
      <w:r>
        <w:t>第三条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附則第二条の規定により厚生労働省の職員が機構の職員となる場合には、その者に対しては、国家公務員退職手当法（昭和二十八年法律第百八十二号）に基づく退職手当は、支給しない。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厚生労働省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機構の成立の日の前日に厚生労働省の職員として在職し、附則第二条の規定により引き続いて機構の職員となった者のうち機構の成立の日から雇用保険法による失業等給付の受給資格を取得するまでの間に機構を退職したものであって、その退職した日まで厚生労働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機構の成立の日の前日において国家公務員共済組合法（昭和三十三年法律第百二十八号）第三条第一項の規定により厚生労働省に属する職員（同法第二条第一項第一号に規定する職員をいう。以下この条において同じ。）及びその所管する独立行政法人の職員をもって組織された国家公務員共済組合（以下この条において「厚生労働省共済組合」という。）の組合員である職員（同日において附則第二条に規定する政令で定める厚生労働省の部局又は機関に属する者に限る。）が機構の成立の日において機構の役員（職員に相当する者に限る。）及び職員（以下この条において「役職員」という。）となる場合であって、かつ、引き続き同日以後において役職員である場合には、当該役職員は、同日から起算して二十日を経過する日（正当な理由があると厚生労働省共済組合が認めた場合には、その認めた日）までに申出をしたときは、機構の成立の日以後引き続く当該役職員である期間厚生労働省共済組合を組織する職員に該当するものとする。</w:t>
      </w:r>
    </w:p>
    <w:p>
      <w:pPr>
        <w:pStyle w:val="Heading5"/>
        <w:ind w:left="440"/>
      </w:pPr>
      <w:r>
        <w:t>２</w:t>
      </w:r>
    </w:p>
    <w:p>
      <w:pPr>
        <w:ind w:left="440"/>
      </w:pPr>
      <w:r>
        <w:t>役職員が同項に規定する申出をその期限内に行うことなく死亡した場合には、その申出は、当該役職員の遺族（国家公務員共済組合法第二条第一項第三号に規定する遺族に相当する者に限る。）がすることができる。</w:t>
      </w:r>
    </w:p>
    <w:p>
      <w:pPr>
        <w:pStyle w:val="Heading5"/>
        <w:ind w:left="440"/>
      </w:pPr>
      <w:r>
        <w:t>３</w:t>
      </w:r>
    </w:p>
    <w:p>
      <w:pPr>
        <w:ind w:left="440"/>
      </w:pPr>
      <w:r>
        <w:t>機構の成立の日の前日において厚生労働省共済組合の組合員である職員（同日において附則第二条に規定する政令で定める厚生労働省の部局又は機関に属する者に限る。）が機構の成立の日において役職員となる場合であって、かつ、第一項又は前項の規定による申出を行わなかった場合には、当該役職員は、機構の成立の日の前日に退職（国家公務員共済組合法第二条第一項第四号に規定する退職をいう。）したものとみなす。</w:t>
      </w:r>
    </w:p>
    <w:p>
      <w:pPr>
        <w:pStyle w:val="Heading4"/>
      </w:pPr>
      <w:r>
        <w:t>第六条</w:t>
      </w:r>
    </w:p>
    <w:p>
      <w:r>
        <w:t>附則第二条の規定により機構の職員となった者であって、機構の成立の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第八条（国の権利義務の承継等）</w:t>
      </w:r>
    </w:p>
    <w:p>
      <w:r>
        <w:t>機構の成立の際、第十二条に規定する業務に関し、現に国が有する権利及び義務のうち政令で定めるものは、機構の成立の時において機構が承継する。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第九条（国有財産の無償使用）</w:t>
      </w:r>
    </w:p>
    <w:p>
      <w:r>
        <w:t>財務大臣は、機構の成立の際現に附則第二条に規定する政令で定める部局又は機関に使用されている国有財産であって政令で定めるものを、政令で定めるところにより、機構の用に供するため、機構に無償で使用させることができる。</w:t>
      </w:r>
    </w:p>
    <w:p>
      <w:pPr>
        <w:pStyle w:val="Heading4"/>
      </w:pPr>
      <w:r>
        <w:t>第十条（日本労働研究機構の解散等）</w:t>
      </w:r>
    </w:p>
    <w:p>
      <w:r>
        <w:t>日本労働研究機構（以下「旧機構」という。）は、機構の成立の時において解散するものとし、その一切の権利及び義務は、次項の規定により国が承継する資産を除き、その時において機構が承継する。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旧機構の解散の日の前日を含む事業年度は、その日に終わるものとする。</w:t>
      </w:r>
    </w:p>
    <w:p>
      <w:pPr>
        <w:pStyle w:val="Heading5"/>
        <w:ind w:left="440"/>
      </w:pPr>
      <w:r>
        <w:t>５</w:t>
      </w:r>
    </w:p>
    <w:p>
      <w:pPr>
        <w:ind w:left="440"/>
      </w:pPr>
      <w:r>
        <w:t>旧機構の解散の日の前日を含む事業年度に係る決算並びに財産目録、貸借対照表及び損益計算書については、なお従前の例による。</w:t>
        <w:br/>
        <w:t>この場合において、当該決算の完結の期限は、その解散の日から起算して二月を経過する日とする。</w:t>
      </w:r>
    </w:p>
    <w:p>
      <w:pPr>
        <w:pStyle w:val="Heading5"/>
        <w:ind w:left="440"/>
      </w:pPr>
      <w:r>
        <w:t>６</w:t>
      </w:r>
    </w:p>
    <w:p>
      <w:pPr>
        <w:ind w:left="440"/>
      </w:pPr>
      <w:r>
        <w:t>第一項の規定により機構が旧機構の権利及び義務を承継したときは、その承継の際、機構が承継する資産の価額から負債の金額を差し引いた額は、政府から機構に対し出資されたものとする。</w:t>
      </w:r>
    </w:p>
    <w:p>
      <w:pPr>
        <w:pStyle w:val="Heading5"/>
        <w:ind w:left="440"/>
      </w:pPr>
      <w:r>
        <w:t>７</w:t>
      </w:r>
    </w:p>
    <w:p>
      <w:pPr>
        <w:ind w:left="440"/>
      </w:pPr>
      <w:r>
        <w:t>附則第八条第三項及び第四項の規定は、前項の資産の価額について準用する。</w:t>
      </w:r>
    </w:p>
    <w:p>
      <w:pPr>
        <w:pStyle w:val="Heading5"/>
        <w:ind w:left="440"/>
      </w:pPr>
      <w:r>
        <w:t>８</w:t>
      </w:r>
    </w:p>
    <w:p>
      <w:pPr>
        <w:ind w:left="440"/>
      </w:pPr>
      <w:r>
        <w:t>第一項の規定により旧機構が解散した場合における解散の登記については、政令で定める。</w:t>
      </w:r>
    </w:p>
    <w:p>
      <w:pPr>
        <w:pStyle w:val="Heading4"/>
      </w:pPr>
      <w:r>
        <w:t>第十一条（日本労働研究機構法の廃止）</w:t>
      </w:r>
    </w:p>
    <w:p>
      <w:r>
        <w:t>日本労働研究機構法（昭和三十三年法律第百三十二号）は、廃止する。</w:t>
      </w:r>
    </w:p>
    <w:p>
      <w:pPr>
        <w:pStyle w:val="Heading4"/>
      </w:pPr>
      <w:r>
        <w:t>第十二条（日本労働研究機構法の廃止に伴う経過措置）</w:t>
      </w:r>
    </w:p>
    <w:p>
      <w:r>
        <w:t>前条の規定による廃止前の日本労働研究機構法（第十三条を除く。）の規定によりした処分、手続その他の行為は、通則法又はこの法律中の相当する規定によりした処分、手続その他の行為とみなす。</w:t>
      </w:r>
    </w:p>
    <w:p>
      <w:pPr>
        <w:pStyle w:val="Heading4"/>
      </w:pPr>
      <w:r>
        <w:t>第十三条（罰則の適用に関する経過措置）</w:t>
      </w:r>
    </w:p>
    <w:p>
      <w:r>
        <w:t>附則第十一条の規定の施行前にした行為及びこの附則の規定によりなお従前の例によることとされる場合におけるこの法律の施行後にした行為に対する罰則の適用については、なお従前の例による。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附則第二条から第十条まで及び前二条に定めるもののほか、機構の設立に伴い必要な経過措置その他この法律の施行に関し必要な経過措置は、政令で定める。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第五条の規定並びに附則第九条第二項及び第三項、第十七条第三項並びに第二十条の規定</w:t>
        <w:br/>
        <w:br/>
        <w:br/>
        <w:t>公布の日</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独立行政法人労働政策研究・研修機構法</w:t>
      <w:br/>
      <w:tab/>
      <w:t>（平成十四年法律第百六十九号）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独立行政法人労働政策研究・研修機構法（平成十四年法律第百六十九号）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