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独立行政法人労働政策研究・研修機構法</w:t>
        <w:br/>
        <w:t>（平成十四年法律第百六十九号）</w:t>
      </w:r>
    </w:p>
    <w:p>
      <w:pPr>
        <w:pStyle w:val="Heading2"/>
      </w:pPr>
      <w:r>
        <w:t>第一章　総則</w:t>
      </w:r>
    </w:p>
    <w:p>
      <w:pPr>
        <w:pStyle w:val="Heading4"/>
      </w:pPr>
      <w:r>
        <w:t>第一条（目的）</w:t>
      </w:r>
    </w:p>
    <w:p>
      <w:r>
        <w:t>この法律は、独立行政法人労働政策研究・研修機構の名称、目的、業務の範囲等に関する事項を定めることを目的とする。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労働政策研究・研修機構とする。</w:t>
      </w:r>
    </w:p>
    <w:p>
      <w:pPr>
        <w:pStyle w:val="Heading4"/>
      </w:pPr>
      <w:r>
        <w:t>第三条（機構の目的）</w:t>
      </w:r>
    </w:p>
    <w:p>
      <w:r>
        <w:t>独立行政法人労働政策研究・研修機構（以下「機構」という。）は、内外の労働に関する事情及び労働政策についての総合的な調査及び研究等並びにその成果の普及を行うとともに、その成果を活用して厚生労働省の労働に関する事務を担当する職員その他の関係者に対する研修を行うことにより、我が国の労働政策の立案及びその効果的かつ効率的な推進に寄与し、もって労働者の福祉の増進と経済の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機構の資本金は、附則第八条第二項及び第十条第六項の規定により政府から出資があったものとされた金額の合計額とする。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第九条（理事長及び理事の欠格条項の特例）</w:t>
      </w:r>
    </w:p>
    <w:p>
      <w:r>
        <w:t>通則法第二十二条の規定にかかわらず、教育公務員で政令で定めるものは、理事長又は理事となることができる。</w:t>
      </w:r>
    </w:p>
    <w:p>
      <w:pPr>
        <w:pStyle w:val="Heading5"/>
        <w:ind w:left="440"/>
      </w:pPr>
      <w:r>
        <w:t>２</w:t>
      </w:r>
    </w:p>
    <w:p>
      <w:pPr>
        <w:ind w:left="440"/>
      </w:pPr>
      <w:r>
        <w:t>機構の理事長及び理事の解任に関する通則法第二十三条第一項の規定の適用については、同項中「前条」とあるのは、「前条及び独立行政法人労働政策研究・研修機構法第九条第一項」とする。</w:t>
      </w:r>
    </w:p>
    <w:p>
      <w:pPr>
        <w:pStyle w:val="Heading4"/>
      </w:pPr>
      <w:r>
        <w:t>第十条（役員及び職員の秘密保持義務）</w:t>
      </w:r>
    </w:p>
    <w:p>
      <w:r>
        <w:t>機構の役員及び職員は、第十二条第五号に掲げる業務に係る職務に関して知ることのできた秘密を漏らしてはならない。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内外の労働に関する事情及び労働政策についての総合的な調査及び研究を行うこと。</w:t>
      </w:r>
    </w:p>
    <w:p>
      <w:pPr>
        <w:pStyle w:val="Heading6"/>
        <w:ind w:left="880"/>
      </w:pPr>
      <w:r>
        <w:t>二</w:t>
      </w:r>
    </w:p>
    <w:p>
      <w:pPr>
        <w:ind w:left="880"/>
      </w:pPr>
      <w:r>
        <w:t>内外の労働に関する事情及び労働政策についての情報及び資料を収集し、及び整理すること。</w:t>
      </w:r>
    </w:p>
    <w:p>
      <w:pPr>
        <w:pStyle w:val="Heading6"/>
        <w:ind w:left="880"/>
      </w:pPr>
      <w:r>
        <w:t>三</w:t>
      </w:r>
    </w:p>
    <w:p>
      <w:pPr>
        <w:ind w:left="880"/>
      </w:pPr>
      <w:r>
        <w:t>第一号に掲げる業務の促進のため、労働に関する問題についての研究者及び有識者を海外から招へいし、及び海外に派遣すること。</w:t>
      </w:r>
    </w:p>
    <w:p>
      <w:pPr>
        <w:pStyle w:val="Heading6"/>
        <w:ind w:left="880"/>
      </w:pPr>
      <w:r>
        <w:t>四</w:t>
      </w:r>
    </w:p>
    <w:p>
      <w:pPr>
        <w:ind w:left="880"/>
      </w:pPr>
      <w:r>
        <w:t>前三号に掲げる業務に係る成果の普及及び政策の提言を行うこと。</w:t>
      </w:r>
    </w:p>
    <w:p>
      <w:pPr>
        <w:pStyle w:val="Heading6"/>
        <w:ind w:left="880"/>
      </w:pPr>
      <w:r>
        <w:t>五</w:t>
      </w:r>
    </w:p>
    <w:p>
      <w:pPr>
        <w:ind w:left="880"/>
      </w:pPr>
      <w:r>
        <w:t>厚生労働省の労働に関する事務を担当する職員その他の関係者に対する研修を行うこと。</w:t>
      </w:r>
    </w:p>
    <w:p>
      <w:pPr>
        <w:pStyle w:val="Heading6"/>
        <w:ind w:left="880"/>
      </w:pPr>
      <w:r>
        <w:t>六</w:t>
      </w:r>
    </w:p>
    <w:p>
      <w:pPr>
        <w:ind w:left="880"/>
      </w:pPr>
      <w:r>
        <w:t>前各号の業務に附帯する業務を行うこと。</w:t>
      </w:r>
    </w:p>
    <w:p>
      <w:pPr>
        <w:pStyle w:val="Heading4"/>
      </w:pPr>
      <w:r>
        <w:t>第十三条（区分経理）</w:t>
      </w:r>
    </w:p>
    <w:p>
      <w:r>
        <w:t>機構は、前条に規定する業務のうち労働者災害補償保険法（昭和二十二年法律第五十号）による労働者災害補償保険事業として行われるものに係る経理、雇用保険法（昭和四十九年法律第百十六号）による雇用保険事業として行われるものに係る経理及びその他のものに係る経理をそれぞれ区分して整理しなければならない。</w:t>
      </w:r>
    </w:p>
    <w:p>
      <w:pPr>
        <w:pStyle w:val="Heading4"/>
      </w:pPr>
      <w:r>
        <w:t>第十四条（積立金の処分）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第十五条（主務大臣等）</w:t>
      </w:r>
    </w:p>
    <w:p>
      <w:r>
        <w:t>機構に係る通則法における主務大臣及び主務省令は、それぞれ厚生労働大臣及び厚生労働省令とする。</w:t>
      </w:r>
    </w:p>
    <w:p>
      <w:pPr>
        <w:pStyle w:val="Heading4"/>
      </w:pPr>
      <w:r>
        <w:t>第十六条</w:t>
      </w:r>
    </w:p>
    <w:p>
      <w:r>
        <w:t>削除</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第十四条第一項の規定により厚生労働大臣の承認を受けなければならない場合において、その承認を受けなかったとき。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第二条（職員の引継ぎ等）</w:t>
      </w:r>
    </w:p>
    <w:p>
      <w:r>
        <w:t>機構の成立の際現に厚生労働省の部局又は機関で政令で定めるものの職員である者は、別に辞令を発せられない限り、機構の成立の日において、機構の職員となるものとする。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附則第二条の規定により厚生労働省の職員が機構の職員となる場合には、その者に対しては、国家公務員退職手当法（昭和二十八年法律第百八十二号）に基づく退職手当は、支給しない。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厚生労働省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機構の成立の日の前日に厚生労働省の職員として在職し、附則第二条の規定により引き続いて機構の職員となった者のうち機構の成立の日から雇用保険法による失業等給付の受給資格を取得するまでの間に機構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機構の成立の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二条に規定する政令で定める厚生労働省の部局又は機関に属する者に限る。）が機構の成立の日において機構の役員（職員に相当する者に限る。）及び職員（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機構の成立の日以後引き続く当該役職員である期間厚生労働省共済組合を組織する職員に該当するものとする。</w:t>
      </w:r>
    </w:p>
    <w:p>
      <w:pPr>
        <w:pStyle w:val="Heading5"/>
        <w:ind w:left="440"/>
      </w:pPr>
      <w:r>
        <w:t>２</w:t>
      </w:r>
    </w:p>
    <w:p>
      <w:pPr>
        <w:ind w:left="440"/>
      </w:pPr>
      <w:r>
        <w:t>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機構の成立の日の前日において厚生労働省共済組合の組合員である職員（同日において附則第二条に規定する政令で定める厚生労働省の部局又は機関に属する者に限る。）が機構の成立の日において役職員となる場合であって、かつ、第一項又は前項の規定による申出を行わなかった場合には、当該役職員は、機構の成立の日の前日に退職（国家公務員共済組合法第二条第一項第四号に規定する退職をいう。）したものとみなす。</w:t>
      </w:r>
    </w:p>
    <w:p>
      <w:pPr>
        <w:pStyle w:val="Heading4"/>
      </w:pPr>
      <w:r>
        <w:t>第六条</w:t>
      </w:r>
    </w:p>
    <w:p>
      <w:r>
        <w:t>附則第二条の規定により機構の職員となった者であって、機構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第八条（国の権利義務の承継等）</w:t>
      </w:r>
    </w:p>
    <w:p>
      <w:r>
        <w:t>機構の成立の際、第十二条に規定する業務に関し、現に国が有する権利及び義務のうち政令で定めるものは、機構の成立の時において機構が承継する。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第九条（国有財産の無償使用）</w:t>
      </w:r>
    </w:p>
    <w:p>
      <w:r>
        <w:t>財務大臣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第十条（日本労働研究機構の解散等）</w:t>
      </w:r>
    </w:p>
    <w:p>
      <w:r>
        <w:t>日本労働研究機構（以下「旧機構」という。）は、機構の成立の時において解散するものとし、その一切の権利及び義務は、次項の規定により国が承継する資産を除き、その時において機構が承継する。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旧機構の解散の日の前日を含む事業年度は、その日に終わるものとする。</w:t>
      </w:r>
    </w:p>
    <w:p>
      <w:pPr>
        <w:pStyle w:val="Heading5"/>
        <w:ind w:left="440"/>
      </w:pPr>
      <w:r>
        <w:t>５</w:t>
      </w:r>
    </w:p>
    <w:p>
      <w:pPr>
        <w:ind w:left="440"/>
      </w:pPr>
      <w:r>
        <w:t>旧機構の解散の日の前日を含む事業年度に係る決算並びに財産目録、貸借対照表及び損益計算書については、なお従前の例による。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第一項の規定により機構が旧機構の権利及び義務を承継したときは、その承継の際、機構が承継する資産の価額から負債の金額を差し引いた額は、政府から機構に対し出資されたものとする。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附則第八条第三項及び第四項の規定は、前項の資産の価額について準用する。</w:t>
      </w:r>
    </w:p>
    <w:p>
      <w:pPr>
        <w:pStyle w:val="Heading5"/>
        <w:ind w:left="440"/>
      </w:pPr>
      <w:r>
        <w:t>８</w:t>
      </w:r>
    </w:p>
    <w:p>
      <w:pPr>
        <w:ind w:left="440"/>
      </w:pPr>
      <w:r>
        <w:t>第一項の規定により旧機構が解散した場合における解散の登記については、政令で定める。</w:t>
      </w:r>
    </w:p>
    <w:p>
      <w:pPr>
        <w:pStyle w:val="Heading4"/>
      </w:pPr>
      <w:r>
        <w:t>第十一条（日本労働研究機構法の廃止）</w:t>
      </w:r>
    </w:p>
    <w:p>
      <w:r>
        <w:t>日本労働研究機構法（昭和三十三年法律第百三十二号）は、廃止する。</w:t>
      </w:r>
    </w:p>
    <w:p>
      <w:pPr>
        <w:pStyle w:val="Heading4"/>
      </w:pPr>
      <w:r>
        <w:t>第十二条（日本労働研究機構法の廃止に伴う経過措置）</w:t>
      </w:r>
    </w:p>
    <w:p>
      <w:r>
        <w:t>前条の規定による廃止前の日本労働研究機構法（第十三条を除く。）の規定によりした処分、手続その他の行為は、通則法又はこの法律中の相当する規定によりした処分、手続その他の行為とみなす。</w:t>
      </w:r>
    </w:p>
    <w:p>
      <w:pPr>
        <w:pStyle w:val="Heading4"/>
      </w:pPr>
      <w:r>
        <w:t>第十三条（罰則の適用に関する経過措置）</w:t>
      </w:r>
    </w:p>
    <w:p>
      <w:r>
        <w:t>附則第十一条の規定の施行前にした行為及びこの附則の規定によりなお従前の例によることとされる場合におけるこの法律の施行後にした行為に対する罰則の適用については、なお従前の例による。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附則第二条から第十条まで及び前二条に定めるもののほか、機構の設立に伴い必要な経過措置その他この法律の施行に関し必要な経過措置は、政令で定める。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6"/>
        <w:ind w:left="880"/>
      </w:pPr>
      <w:r>
        <w:t>一</w:t>
      </w:r>
    </w:p>
    <w:p>
      <w:pPr>
        <w:ind w:left="880"/>
      </w:pPr>
      <w:r>
        <w:t>第五条の規定並びに附則第九条第二項及び第三項、第十七条第三項並びに第二十条の規定</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独立行政法人労働政策研究・研修機構法</w:t>
      <w:br/>
      <w:tab/>
      <w:t>（平成十四年法律第百六十九号）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独立行政法人労働政策研究・研修機構法（平成十四年法律第百六十九号）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