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独立行政法人勤労者退職金共済機構の業務運営、財務及び会計並びに人事管理に関する省令</w:t>
        <w:br/>
        <w:t>（平成十五年厚生労働省令第百五十二号）</w:t>
      </w:r>
    </w:p>
    <w:p>
      <w:pPr>
        <w:pStyle w:val="Heading4"/>
      </w:pPr>
      <w:r>
        <w:t>第一条（通則法第八条第三項の主務省令で定める重要な財産）</w:t>
      </w:r>
    </w:p>
    <w:p>
      <w:r>
        <w:t>独立行政法人勤労者退職金共済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中小企業退職金共済法（以下「法」という。）、中小企業退職金共済法施行令（昭和三十九年政令第百八十八号。以下「令」という。）、中小企業退職金共済法施行規則（昭和三十四年労働省令第二十三号）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Heading6"/>
        <w:ind w:left="880"/>
      </w:pPr>
      <w:r>
        <w:t>一</w:t>
      </w:r>
    </w:p>
    <w:p>
      <w:pPr>
        <w:ind w:left="880"/>
      </w:pPr>
      <w:r>
        <w:t>法第七十条第一項第一号に規定する中小企業退職金共済事業に関する事項</w:t>
      </w:r>
    </w:p>
    <w:p>
      <w:pPr>
        <w:pStyle w:val="Heading6"/>
        <w:ind w:left="880"/>
      </w:pPr>
      <w:r>
        <w:t>二</w:t>
      </w:r>
    </w:p>
    <w:p>
      <w:pPr>
        <w:ind w:left="880"/>
      </w:pPr>
      <w:r>
        <w:t>法第七十条第一項第二号に規定する附帯業務に関する事項</w:t>
      </w:r>
    </w:p>
    <w:p>
      <w:pPr>
        <w:pStyle w:val="Heading6"/>
        <w:ind w:left="880"/>
      </w:pPr>
      <w:r>
        <w:t>三</w:t>
      </w:r>
    </w:p>
    <w:p>
      <w:pPr>
        <w:ind w:left="880"/>
      </w:pPr>
      <w:r>
        <w:t>法第七十条第二項第一号に規定する勤労者財産形成促進法第九条第一項に規定する業務に関する事項</w:t>
      </w:r>
    </w:p>
    <w:p>
      <w:pPr>
        <w:pStyle w:val="Heading6"/>
        <w:ind w:left="880"/>
      </w:pPr>
      <w:r>
        <w:t>四</w:t>
      </w:r>
    </w:p>
    <w:p>
      <w:pPr>
        <w:ind w:left="880"/>
      </w:pPr>
      <w:r>
        <w:t>法第七十条第二項第二号に規定する附帯業務に関する事項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職員の人事に関する計画（人員及び人件費の効率化に関する目標を含む。）</w:t>
      </w:r>
    </w:p>
    <w:p>
      <w:pPr>
        <w:pStyle w:val="Heading6"/>
        <w:ind w:left="880"/>
      </w:pPr>
      <w:r>
        <w:t>二</w:t>
      </w:r>
    </w:p>
    <w:p>
      <w:pPr>
        <w:ind w:left="880"/>
      </w:pPr>
      <w:r>
        <w:t>法第七十五条第一項に規定する積立金の処分に関する事項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第八条（募集）</w:t>
      </w:r>
    </w:p>
    <w:p>
      <w:r>
        <w:t>法第七十三条第五項の募集は、当該特定業種に係る特定業種退職金共済契約の概要及び募集の期間を明らかにしてしなければならない。</w:t>
      </w:r>
    </w:p>
    <w:p>
      <w:pPr>
        <w:pStyle w:val="Heading5"/>
        <w:ind w:left="440"/>
      </w:pPr>
      <w:r>
        <w:t>２</w:t>
      </w:r>
    </w:p>
    <w:p>
      <w:pPr>
        <w:ind w:left="440"/>
      </w:pPr>
      <w:r>
        <w:t>前項の募集に応じようとする者は、次に掲げる事項を記載した応募書を機構に提出しなければならない。</w:t>
      </w:r>
    </w:p>
    <w:p>
      <w:pPr>
        <w:pStyle w:val="Heading6"/>
        <w:ind w:left="880"/>
      </w:pPr>
      <w:r>
        <w:t>一</w:t>
      </w:r>
    </w:p>
    <w:p>
      <w:pPr>
        <w:ind w:left="880"/>
      </w:pPr>
      <w:r>
        <w:t>応募者の氏名又は名称及び住所</w:t>
      </w:r>
    </w:p>
    <w:p>
      <w:pPr>
        <w:pStyle w:val="Heading6"/>
        <w:ind w:left="880"/>
      </w:pPr>
      <w:r>
        <w:t>二</w:t>
      </w:r>
    </w:p>
    <w:p>
      <w:pPr>
        <w:ind w:left="880"/>
      </w:pPr>
      <w:r>
        <w:t>主たる事業の内容、常時雇用する従業員数及び資本の額又は出資の総額</w:t>
      </w:r>
    </w:p>
    <w:p>
      <w:pPr>
        <w:pStyle w:val="Heading6"/>
        <w:ind w:left="880"/>
      </w:pPr>
      <w:r>
        <w:t>三</w:t>
      </w:r>
    </w:p>
    <w:p>
      <w:pPr>
        <w:ind w:left="880"/>
      </w:pPr>
      <w:r>
        <w:t>当該特定業種に属する事業の内容及び期間を定めて雇用する従業員であって当該特定業種に属する事業に従事することを常態とするものの数</w:t>
      </w:r>
    </w:p>
    <w:p>
      <w:pPr>
        <w:pStyle w:val="Heading6"/>
        <w:ind w:left="880"/>
      </w:pPr>
      <w:r>
        <w:t>四</w:t>
      </w:r>
    </w:p>
    <w:p>
      <w:pPr>
        <w:ind w:left="880"/>
      </w:pPr>
      <w:r>
        <w:t>被共済者とならないものとする者の範囲</w:t>
      </w:r>
    </w:p>
    <w:p>
      <w:pPr>
        <w:pStyle w:val="Heading6"/>
        <w:ind w:left="880"/>
      </w:pPr>
      <w:r>
        <w:t>五</w:t>
      </w:r>
    </w:p>
    <w:p>
      <w:pPr>
        <w:ind w:left="880"/>
      </w:pPr>
      <w:r>
        <w:t>法第四十四条第四項の消印に使用する印章の印影</w:t>
      </w:r>
    </w:p>
    <w:p>
      <w:pPr>
        <w:pStyle w:val="Heading5"/>
        <w:ind w:left="440"/>
      </w:pPr>
      <w:r>
        <w:t>３</w:t>
      </w:r>
    </w:p>
    <w:p>
      <w:pPr>
        <w:ind w:left="440"/>
      </w:pPr>
      <w:r>
        <w:t>機構は、前項の応募書の提出があった場合において、必要があると認めるときは、応募者に対し、その者が当該特定業種に属する事業を営む中小企業者であることを証する書類の提出を求めることができる。</w:t>
      </w:r>
    </w:p>
    <w:p>
      <w:pPr>
        <w:pStyle w:val="Heading4"/>
      </w:pPr>
      <w:r>
        <w:t>第九条（応募の率）</w:t>
      </w:r>
    </w:p>
    <w:p>
      <w:r>
        <w:t>法第七十三条第六項の厚生労働省令で定める率は、三分の一とする。</w:t>
      </w:r>
    </w:p>
    <w:p>
      <w:pPr>
        <w:pStyle w:val="Heading4"/>
      </w:pPr>
      <w:r>
        <w:t>第十条（企業会計原則等）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第十一条（共通経費の配賦基準）</w:t>
      </w:r>
    </w:p>
    <w:p>
      <w:r>
        <w:t>機構は、法第七十四条第一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第十二条（区分経理の方法）</w:t>
      </w:r>
    </w:p>
    <w:p>
      <w:r>
        <w:t>機構は、法第七十四条第一項に規定する勘定として、同項第一号に掲げる業務に係る経理については一般の中小企業退職金共済事業等勘定を、同項第二号に掲げる業務に係る経理については特定業種ごとの退職金共済事業等勘定、同項第三号に掲げる業務に係る経理については財形勘定を設けて経理しなければならない。</w:t>
      </w:r>
    </w:p>
    <w:p>
      <w:pPr>
        <w:pStyle w:val="Heading5"/>
        <w:ind w:left="440"/>
      </w:pPr>
      <w:r>
        <w:t>２</w:t>
      </w:r>
    </w:p>
    <w:p>
      <w:pPr>
        <w:ind w:left="440"/>
      </w:pPr>
      <w:r>
        <w:t>一般の中小企業退職金共済事業等勘定は、その内訳として、給付経理及び業務経理の各経理単位に、特定業種ごとの退職金共済事業等勘定は、その内訳として、それぞれ、給付経理、業務経理及び特別給付経理（特別給付経理については、令別表第六及び別表第七に係る特定業種の退職金共済事業等勘定に限る。）の各経理単位に区分しなければならない。</w:t>
      </w:r>
    </w:p>
    <w:p>
      <w:pPr>
        <w:pStyle w:val="Heading5"/>
        <w:ind w:left="440"/>
      </w:pPr>
      <w:r>
        <w:t>３</w:t>
      </w:r>
    </w:p>
    <w:p>
      <w:pPr>
        <w:ind w:left="440"/>
      </w:pPr>
      <w:r>
        <w:t>給付経理は、法第七十条第一項第一号に規定する中小企業退職金共済事業に関する取引（資産、負債及び資本の増減又は異動の原因となる一切の事実をいう。以下同じ。）を経理するものとする。</w:t>
      </w:r>
    </w:p>
    <w:p>
      <w:pPr>
        <w:pStyle w:val="Heading5"/>
        <w:ind w:left="440"/>
      </w:pPr>
      <w:r>
        <w:t>４</w:t>
      </w:r>
    </w:p>
    <w:p>
      <w:pPr>
        <w:ind w:left="440"/>
      </w:pPr>
      <w:r>
        <w:t>業務経理は、法第七十条第一項に規定する業務に係る機構の事務に関する取引を経理するものとする。</w:t>
      </w:r>
    </w:p>
    <w:p>
      <w:pPr>
        <w:pStyle w:val="Heading5"/>
        <w:ind w:left="440"/>
      </w:pPr>
      <w:r>
        <w:t>５</w:t>
      </w:r>
    </w:p>
    <w:p>
      <w:pPr>
        <w:ind w:left="440"/>
      </w:pPr>
      <w:r>
        <w:t>特別給付経理は、次項に規定する特別共済事業に関する取引を経理するものとする。</w:t>
      </w:r>
    </w:p>
    <w:p>
      <w:pPr>
        <w:pStyle w:val="Heading5"/>
        <w:ind w:left="440"/>
      </w:pPr>
      <w:r>
        <w:t>６</w:t>
      </w:r>
    </w:p>
    <w:p>
      <w:pPr>
        <w:ind w:left="440"/>
      </w:pPr>
      <w:r>
        <w:t>前項の特別共済事業とは、法第七十条第一項第二号に規定する附帯業務のうち、法第二条第一項に規定する中小企業者以外の者であって、特定業種に属する事業の事業主であるものが機構に掛金を納付することを約し、機構が、期間を定めて雇用される者としてその事業主に雇用され、かつ、当該特定業種に属する事業に従事することを常態とする者の退職について、退職金を支給することを約する契約（第十三条の二において「特別共済契約」という。）に係る退職金共済事業をいう。</w:t>
      </w:r>
    </w:p>
    <w:p>
      <w:pPr>
        <w:pStyle w:val="Heading4"/>
      </w:pPr>
      <w:r>
        <w:t>第十三条（経理単位間の資金の融通）</w:t>
      </w:r>
    </w:p>
    <w:p>
      <w:r>
        <w:t>一般の中小企業退職金共済事業等勘定及び特定業種ごとの退職金共済事業等勘定の各勘定においては、給付経理又は特別給付経理から業務経理への資金の融通を行う場合を除き、一の経理から他の経理への資金の融通を行ってはならない。</w:t>
      </w:r>
    </w:p>
    <w:p>
      <w:pPr>
        <w:pStyle w:val="Heading4"/>
      </w:pPr>
      <w:r>
        <w:t>第十三条の二（給付経理及び特別給付経理間の資金の融通）</w:t>
      </w:r>
    </w:p>
    <w:p>
      <w:r>
        <w:t>下請負人の委任を受けて、特定業種退職金共済契約又は特別共済契約に基づく掛金納付に係る事務を元請負人が処理する場合においては、前条の規定にかかわらず、下請負人が行うべき掛金納付に係る事務を元請負人が処理する場合であって、元請負人及び下請負人の一方のみが法第二条第一項に規定する中小企業者でないときは、機構は、必要に応じて、元請負人が納付した金銭について、一の特定業種における退職金共済事業等勘定に属する給付経理と特別給付経理との間における資金の融通を行うことができる。</w:t>
      </w:r>
    </w:p>
    <w:p>
      <w:pPr>
        <w:pStyle w:val="Heading4"/>
      </w:pPr>
      <w:r>
        <w:t>第十四条（償却資産の指定等）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第十五条の二（事業報告書の作成）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第十六条（財務諸表等の閲覧期間）</w:t>
      </w:r>
    </w:p>
    <w:p>
      <w:r>
        <w:t>機構に係る通則法第三十八条第三項の主務省令で定める期間は、五年とする。</w:t>
      </w:r>
    </w:p>
    <w:p>
      <w:pPr>
        <w:pStyle w:val="Heading4"/>
      </w:pPr>
      <w:r>
        <w:t>第十六条の二（会計監査報告の作成）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第十七条（国庫納付金の納付額）</w:t>
      </w:r>
    </w:p>
    <w:p>
      <w:r>
        <w:t>法第七十五条第二項の厚生労働省令で定めるところにより算定した額は、第十二条第二項に規定する一般の中小企業退職金共済事業等勘定及び特定業種ごとの退職金共済事業等勘定の各勘定の業務経理（以下この条において「退職金共済事業等勘定の業務経理」という。）並びに財形勘定におけるそれぞれの残余の額とする。</w:t>
      </w:r>
    </w:p>
    <w:p>
      <w:pPr>
        <w:pStyle w:val="Heading4"/>
      </w:pPr>
      <w:r>
        <w:t>第十七条の二（合同運用に係る業務上の余裕金の管理）</w:t>
      </w:r>
    </w:p>
    <w:p>
      <w:r>
        <w:t>機構は、法第七十七条第五項の規定により、退職金共済業務及び特定業種退職金共済業務に係る業務上の余裕金を合同して運用する場合にあっては、当該業務上の余裕金のうち、各業務に係る勘定より合同して運用することとした業務上の余裕金を時価により合理的に評価した額を、当該各業務に係る勘定に属する業務上の余裕金の額として管理するものとする。</w:t>
      </w:r>
    </w:p>
    <w:p>
      <w:pPr>
        <w:pStyle w:val="Heading4"/>
      </w:pPr>
      <w:r>
        <w:t>第十七条の三（給付経理及び特別給付経理に係る合同運用）</w:t>
      </w:r>
    </w:p>
    <w:p>
      <w:r>
        <w:t>機構は、一の特定業種における退職金共済事業等勘定に属する給付経理及び特別給付経理においてそれぞれ経理すべき業務に係る業務上の余裕金を合同して運用することができる。</w:t>
      </w:r>
    </w:p>
    <w:p>
      <w:pPr>
        <w:pStyle w:val="Heading5"/>
        <w:ind w:left="440"/>
      </w:pPr>
      <w:r>
        <w:t>２</w:t>
      </w:r>
    </w:p>
    <w:p>
      <w:pPr>
        <w:ind w:left="440"/>
      </w:pPr>
      <w:r>
        <w:t>前条の規定は、前項の場合に準用する。</w:t>
      </w:r>
    </w:p>
    <w:p>
      <w:pPr>
        <w:pStyle w:val="Heading4"/>
      </w:pPr>
      <w:r>
        <w:t>第十八条（余裕金の運用の基本方針）</w:t>
      </w:r>
    </w:p>
    <w:p>
      <w:r>
        <w:t>法第七十八条第一項に規定する厚生労働省令で定める事項は、次に掲げる事項とする。</w:t>
      </w:r>
    </w:p>
    <w:p>
      <w:pPr>
        <w:pStyle w:val="Heading6"/>
        <w:ind w:left="880"/>
      </w:pPr>
      <w:r>
        <w:t>一</w:t>
      </w:r>
    </w:p>
    <w:p>
      <w:pPr>
        <w:ind w:left="880"/>
      </w:pPr>
      <w:r>
        <w:t>業務上の余裕金の運用の目標に関する事項</w:t>
      </w:r>
    </w:p>
    <w:p>
      <w:pPr>
        <w:pStyle w:val="Heading6"/>
        <w:ind w:left="880"/>
      </w:pPr>
      <w:r>
        <w:t>二</w:t>
      </w:r>
    </w:p>
    <w:p>
      <w:pPr>
        <w:ind w:left="880"/>
      </w:pPr>
      <w:r>
        <w:t>業務上の余裕金の運用に係る資産の構成に関する事項</w:t>
      </w:r>
    </w:p>
    <w:p>
      <w:pPr>
        <w:pStyle w:val="Heading6"/>
        <w:ind w:left="880"/>
      </w:pPr>
      <w:r>
        <w:t>三</w:t>
      </w:r>
    </w:p>
    <w:p>
      <w:pPr>
        <w:ind w:left="880"/>
      </w:pPr>
      <w:r>
        <w:t>信託会社、信託業務を営む金融機関、生命保険会社、金融商品取引業者（金融商品取引法（昭和二十三年法律第二十五号）第二条第九項に規定する金融商品取引業者をいう。）等（以下この条において「運用受託機関」という。）の選任に関する事項</w:t>
      </w:r>
    </w:p>
    <w:p>
      <w:pPr>
        <w:pStyle w:val="Heading6"/>
        <w:ind w:left="880"/>
      </w:pPr>
      <w:r>
        <w:t>四</w:t>
      </w:r>
    </w:p>
    <w:p>
      <w:pPr>
        <w:ind w:left="880"/>
      </w:pPr>
      <w:r>
        <w:t>運用受託機関の業務（以下この項において「運用業務」という。）に関する報告の内容及び方法に関する事項</w:t>
      </w:r>
    </w:p>
    <w:p>
      <w:pPr>
        <w:pStyle w:val="Heading6"/>
        <w:ind w:left="880"/>
      </w:pPr>
      <w:r>
        <w:t>五</w:t>
      </w:r>
    </w:p>
    <w:p>
      <w:pPr>
        <w:ind w:left="880"/>
      </w:pPr>
      <w:r>
        <w:t>運用受託機関の評価に関する事項</w:t>
      </w:r>
    </w:p>
    <w:p>
      <w:pPr>
        <w:pStyle w:val="Heading6"/>
        <w:ind w:left="880"/>
      </w:pPr>
      <w:r>
        <w:t>六</w:t>
      </w:r>
    </w:p>
    <w:p>
      <w:pPr>
        <w:ind w:left="880"/>
      </w:pPr>
      <w:r>
        <w:t>運用業務に関し遵守すべき事項</w:t>
      </w:r>
    </w:p>
    <w:p>
      <w:pPr>
        <w:pStyle w:val="Heading6"/>
        <w:ind w:left="880"/>
      </w:pPr>
      <w:r>
        <w:t>七</w:t>
      </w:r>
    </w:p>
    <w:p>
      <w:pPr>
        <w:ind w:left="880"/>
      </w:pPr>
      <w:r>
        <w:t>法第七十七条第五項に規定する運用の実施に関する事項</w:t>
      </w:r>
    </w:p>
    <w:p>
      <w:pPr>
        <w:pStyle w:val="Heading6"/>
        <w:ind w:left="880"/>
      </w:pPr>
      <w:r>
        <w:t>八</w:t>
      </w:r>
    </w:p>
    <w:p>
      <w:pPr>
        <w:ind w:left="880"/>
      </w:pPr>
      <w:r>
        <w:t>前各号に掲げるもののほか、運用業務に関し必要な事項</w:t>
      </w:r>
    </w:p>
    <w:p>
      <w:pPr>
        <w:pStyle w:val="Heading5"/>
        <w:ind w:left="440"/>
      </w:pPr>
      <w:r>
        <w:t>２</w:t>
      </w:r>
    </w:p>
    <w:p>
      <w:pPr>
        <w:ind w:left="440"/>
      </w:pPr>
      <w:r>
        <w:t>機構は、法第七十八条第三項の規定により運用受託機関に対して前項第二号、第四号、第五号、第六号及び第八号に掲げる事項のほか、運用手法に関する事項を記載した基本方針と整合的な運用指針を作成し、これを交付しなければならない。</w:t>
      </w:r>
    </w:p>
    <w:p>
      <w:pPr>
        <w:pStyle w:val="Heading4"/>
      </w:pPr>
      <w:r>
        <w:t>第十九条（責任準備金）</w:t>
      </w:r>
    </w:p>
    <w:p>
      <w:r>
        <w:t>機構は、毎事業年度末日現在で、一般の中小企業退職金共済事業等勘定及び特定業種ごとの退職金共済事業等勘定のそれぞれの給付経理において、厚生労働大臣の定めるところにより責任準備金を積み立てなければならない。</w:t>
      </w:r>
    </w:p>
    <w:p>
      <w:pPr>
        <w:pStyle w:val="Heading4"/>
      </w:pPr>
      <w:r>
        <w:t>第十九条の二（業務委託の認可の申請）</w:t>
      </w:r>
    </w:p>
    <w:p>
      <w:r>
        <w:t>機構は、法第七十二条第二項の規定により業務委託の認可を受けようとするときは、次に掲げる事項を記載した申請書を厚生労働大臣に提出しなければならない。</w:t>
      </w:r>
    </w:p>
    <w:p>
      <w:pPr>
        <w:pStyle w:val="Heading6"/>
        <w:ind w:left="880"/>
      </w:pPr>
      <w:r>
        <w:t>一</w:t>
      </w:r>
    </w:p>
    <w:p>
      <w:pPr>
        <w:ind w:left="880"/>
      </w:pPr>
      <w:r>
        <w:t>委託しようとする相手方の名称及び主たる事務所の所在地</w:t>
      </w:r>
    </w:p>
    <w:p>
      <w:pPr>
        <w:pStyle w:val="Heading6"/>
        <w:ind w:left="880"/>
      </w:pPr>
      <w:r>
        <w:t>二</w:t>
      </w:r>
    </w:p>
    <w:p>
      <w:pPr>
        <w:ind w:left="880"/>
      </w:pPr>
      <w:r>
        <w:t>委託しようとする業務の内容</w:t>
      </w:r>
    </w:p>
    <w:p>
      <w:pPr>
        <w:pStyle w:val="Heading6"/>
        <w:ind w:left="880"/>
      </w:pPr>
      <w:r>
        <w:t>三</w:t>
      </w:r>
    </w:p>
    <w:p>
      <w:pPr>
        <w:ind w:left="880"/>
      </w:pPr>
      <w:r>
        <w:t>委託することを適当とする理由</w:t>
      </w:r>
    </w:p>
    <w:p>
      <w:pPr>
        <w:pStyle w:val="Heading6"/>
        <w:ind w:left="880"/>
      </w:pPr>
      <w:r>
        <w:t>四</w:t>
      </w:r>
    </w:p>
    <w:p>
      <w:pPr>
        <w:ind w:left="880"/>
      </w:pPr>
      <w:r>
        <w:t>委託の条件</w:t>
      </w:r>
    </w:p>
    <w:p>
      <w:pPr>
        <w:pStyle w:val="Heading4"/>
      </w:pPr>
      <w:r>
        <w:t>第十九条の三（長期借入金の認可の申請）</w:t>
      </w:r>
    </w:p>
    <w:p>
      <w:r>
        <w:t>機構は、法第七十五条の二第一項の規定により長期借入金の認可を受けようとするときは、次に掲げる事項を記載した申請書を厚生労働大臣に提出しなければならない。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第二十条（短期借入金の認可の申請）</w:t>
      </w:r>
    </w:p>
    <w:p>
      <w:r>
        <w:t>機構は、法第七十五条の二第二項若しく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借入金の額（法第七十五条の二第二項の規定により短期借入金の認可を受けようとする場合には、借入れの限度額）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第二十一条（通則法第四十八条の主務省令で定める重要な財産）</w:t>
      </w:r>
    </w:p>
    <w:p>
      <w:r>
        <w:t>機構に係る通則法第四十八条の主務省令で定める重要な財産は、土地及び建物とする。</w:t>
      </w:r>
    </w:p>
    <w:p>
      <w:pPr>
        <w:pStyle w:val="Heading4"/>
      </w:pPr>
      <w:r>
        <w:t>第二十二条（通則法第四十八条の主務省令で定める重要な財産の処分等の認可の申請）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第二十二条の二（内部組織）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第二十三条（積立金の処分に係る承認申請書の添付書類）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第二十四条（法第七十五条の二第五項の厚生労働省令で定める金融機関）</w:t>
      </w:r>
    </w:p>
    <w:p>
      <w:r>
        <w:t>法第七十五条の二第五項の厚生労働省令で定める金融機関は、次に掲げるとおりとする。</w:t>
      </w:r>
    </w:p>
    <w:p>
      <w:pPr>
        <w:pStyle w:val="Heading6"/>
        <w:ind w:left="880"/>
      </w:pPr>
      <w:r>
        <w:t>一</w:t>
      </w:r>
    </w:p>
    <w:p>
      <w:pPr>
        <w:ind w:left="880"/>
      </w:pPr>
      <w:r>
        <w:t>銀行（銀行法（昭和五十六年法律第五十九号）第二条第一項に規定する銀行をいう。）、長期信用銀行（長期信用銀行法（昭和二十七年法律第百八十七号）第二条に規定する長期信用銀行をいう。）、信用金庫、信用金庫連合会、信用協同組合、信用協同組合連合会（中小企業等協同組合法（昭和二十四年法律第百八十一号）第九条の九第一項第一号の事業を行う協同組合連合会をいう。）、労働金庫及び労働金庫連合会</w:t>
      </w:r>
    </w:p>
    <w:p>
      <w:pPr>
        <w:pStyle w:val="Heading6"/>
        <w:ind w:left="880"/>
      </w:pPr>
      <w:r>
        <w:t>二</w:t>
      </w:r>
    </w:p>
    <w:p>
      <w:pPr>
        <w:ind w:left="880"/>
      </w:pPr>
      <w:r>
        <w:t>農業協同組合法（昭和二十二年法律第百三十二号）第十条第一項第二号及び第三号の事業を併せ行う農業協同組合及び農業協同組合連合会、水産業協同組合法（昭和二十三年法律第二百四十二号）第八十七条第一項第三号及び第四号の事業を併せ行う漁業協同組合連合会並びに農林中央金庫</w:t>
      </w:r>
    </w:p>
    <w:p>
      <w:pPr>
        <w:pStyle w:val="Heading6"/>
        <w:ind w:left="880"/>
      </w:pPr>
      <w:r>
        <w:t>三</w:t>
      </w:r>
    </w:p>
    <w:p>
      <w:pPr>
        <w:ind w:left="880"/>
      </w:pPr>
      <w:r>
        <w:t>株式会社商工組合中央金庫</w:t>
      </w:r>
    </w:p>
    <w:p>
      <w:pPr>
        <w:pStyle w:val="Heading4"/>
      </w:pPr>
      <w:r>
        <w:t>第二十五条（償還計画の認可の申請）</w:t>
      </w:r>
    </w:p>
    <w:p>
      <w:r>
        <w:t>機構は、法第七十五条の三の規定により償還計画の認可を受けようとするときは、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財形住宅債券の総額及び当該事業年度において発行するものの引受けの見込み</w:t>
      </w:r>
    </w:p>
    <w:p>
      <w:pPr>
        <w:pStyle w:val="Heading6"/>
        <w:ind w:left="880"/>
      </w:pPr>
      <w:r>
        <w:t>三</w:t>
      </w:r>
    </w:p>
    <w:p>
      <w:pPr>
        <w:ind w:left="880"/>
      </w:pPr>
      <w:r>
        <w:t>長期借入金及び財形住宅債券の償還の方法及び期限</w:t>
      </w:r>
    </w:p>
    <w:p>
      <w:pPr>
        <w:pStyle w:val="Heading6"/>
        <w:ind w:left="880"/>
      </w:pPr>
      <w:r>
        <w:t>四</w:t>
      </w:r>
    </w:p>
    <w:p>
      <w:pPr>
        <w:ind w:left="880"/>
      </w:pPr>
      <w:r>
        <w:t>その他必要な事項</w:t>
      </w:r>
    </w:p>
    <w:p>
      <w:pPr>
        <w:pStyle w:val="Heading4"/>
      </w:pPr>
      <w:r>
        <w:t>第二十六条（立入検査のための身分証明書）</w:t>
      </w:r>
    </w:p>
    <w:p>
      <w:r>
        <w:t>法第七十八条の二第二項の証明書は、別記様式によるものとする。</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第二条（勤労者退職金共済機構の財務及び会計に関する省令の廃止）</w:t>
      </w:r>
    </w:p>
    <w:p>
      <w:r>
        <w:t>勤労者退職金共済機構の財務及び会計に関する省令（昭和三十四年労働省令第十八号）は、廃止する。</w:t>
      </w:r>
    </w:p>
    <w:p>
      <w:pPr>
        <w:pStyle w:val="Heading4"/>
      </w:pPr>
      <w:r>
        <w:t>第三条（身分証明書の様式）</w:t>
      </w:r>
    </w:p>
    <w:p>
      <w:r>
        <w:t>中小企業退職金共済法の一部を改正する法律附則第八条第二項の証明書は、附則別記様式によるものとする。</w:t>
      </w:r>
    </w:p>
    <w:p>
      <w:pPr>
        <w:pStyle w:val="Heading4"/>
      </w:pPr>
      <w:r>
        <w:t>第四条（業務の特例に係る経理）</w:t>
      </w:r>
    </w:p>
    <w:p>
      <w:r>
        <w:t>中小企業退職金共済法の一部を改正する法律附則第五条に規定する業務に係る経理については、機構は、第十二条第二項の規定による経理のほか、当該業務に係る経理を区分して設けなければならない。</w:t>
      </w:r>
    </w:p>
    <w:p>
      <w:pPr>
        <w:pStyle w:val="Heading5"/>
        <w:ind w:left="440"/>
      </w:pPr>
      <w:r>
        <w:t>２</w:t>
      </w:r>
    </w:p>
    <w:p>
      <w:pPr>
        <w:ind w:left="440"/>
      </w:pPr>
      <w:r>
        <w:t>機構は、前項の業務を終えたときは、同項に規定する経理を廃止するものとし、その廃止の際現に当該経理に所属する権利及び義務を当該経理の属する勘定に係る給付経理に帰属させるものとする。</w:t>
      </w:r>
    </w:p>
    <w:p>
      <w:pPr>
        <w:pStyle w:val="Heading4"/>
      </w:pPr>
      <w:r>
        <w:t>第五条（業務の特例に関する経過措置）</w:t>
      </w:r>
    </w:p>
    <w:p>
      <w:r>
        <w:t>法附則第二条第一項の規定により機構が同項に規定する業務を行う場合にあっては、第一条の四各号に掲げる事項に加え、次に掲げる事項を業務方法書に記載するものとする。</w:t>
      </w:r>
    </w:p>
    <w:p>
      <w:pPr>
        <w:pStyle w:val="Heading6"/>
        <w:ind w:left="880"/>
      </w:pPr>
      <w:r>
        <w:t>一</w:t>
      </w:r>
    </w:p>
    <w:p>
      <w:pPr>
        <w:ind w:left="880"/>
      </w:pPr>
      <w:r>
        <w:t>法附則第二条第一項第一号に規定する業務に関する事項</w:t>
      </w:r>
    </w:p>
    <w:p>
      <w:pPr>
        <w:pStyle w:val="Heading6"/>
        <w:ind w:left="880"/>
      </w:pPr>
      <w:r>
        <w:t>二</w:t>
      </w:r>
    </w:p>
    <w:p>
      <w:pPr>
        <w:ind w:left="880"/>
      </w:pPr>
      <w:r>
        <w:t>法附則第二条第一項第二号に規定する業務に関する事項</w:t>
      </w:r>
    </w:p>
    <w:p>
      <w:pPr>
        <w:pStyle w:val="Heading6"/>
        <w:ind w:left="880"/>
      </w:pPr>
      <w:r>
        <w:t>三</w:t>
      </w:r>
    </w:p>
    <w:p>
      <w:pPr>
        <w:ind w:left="880"/>
      </w:pPr>
      <w:r>
        <w:t>法附則第二条第一項第三号に規定する業務に関する事項</w:t>
      </w:r>
    </w:p>
    <w:p>
      <w:pPr>
        <w:pStyle w:val="Heading6"/>
        <w:ind w:left="880"/>
      </w:pPr>
      <w:r>
        <w:t>四</w:t>
      </w:r>
    </w:p>
    <w:p>
      <w:pPr>
        <w:ind w:left="880"/>
      </w:pPr>
      <w:r>
        <w:t>法附則第二条第一項第四号に規定する業務に関する事項</w:t>
      </w:r>
    </w:p>
    <w:p>
      <w:pPr>
        <w:pStyle w:val="Heading5"/>
        <w:ind w:left="440"/>
      </w:pPr>
      <w:r>
        <w:t>２</w:t>
      </w:r>
    </w:p>
    <w:p>
      <w:pPr>
        <w:ind w:left="440"/>
      </w:pPr>
      <w:r>
        <w:t>法附則第二条第一項の規定により機構が同項に規定する業務を行う場合には、第三条第二号中「法第七十五条第一項」とあるのは「法第七十五条第一項（法附則第二条第二項の規定により読み替えて適用する場合を含む。）」と、第十一条中「法第七十四条第一項」とあるのは「法第七十四条第一項（法附則第二条第二項の規定により読み替えて適用する場合を含む。）」と、第十二条第一項中「法第七十四条第一項」とあるのは「法第七十四条第一項（法附則第二条第二項の規定により読み替えて適用する場合を含む。）」と、「第三号」とあるのは「第三号及び法附則第二条第一項第一号から第三号まで」と、「財形勘定を」とあるのは「財形勘定を、同項第四号に掲げる業務に係る経理については雇用促進融資勘定を」と、第十七条中「並びに財形勘定」とあるのは「、財形勘定並びに雇用促進融資勘定」と、第十九条の二中「法第七十二条第二項」とあるのは「法第七十二条第二項（法附則第二条第二項の規定により読み替えて適用する場合を含む。）」と、第十九条の三中「法第七十五条の二第一項」とあるのは「法第七十五条の二第一項（法附則第二条第二項の規定により読み替えて適用する場合を含む。）」と、第二十条中「法第七十五条の二第二項」とあるのは「法第七十五条の二第二項（法附則第二条第二項の規定により読み替えて適用する場合を含む。）」と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新勤労者退職金共済機構財会省令第十五条の二第三項</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第三条</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第四条</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w:t>
      </w:r>
    </w:p>
    <w:p>
      <w:pPr>
        <w:ind w:left="880"/>
      </w:pPr>
      <w:r>
        <w:t>第一条の規定による改正後の独立行政法人高齢・障害・求職者雇用支援機構の業務運営、財務及び会計並びに人事管理に関する省令第十三条及び第十三条の二第二項</w:t>
      </w:r>
    </w:p>
    <w:p>
      <w:pPr>
        <w:pStyle w:val="Heading6"/>
        <w:ind w:left="880"/>
      </w:pPr>
      <w:r>
        <w:t>二</w:t>
      </w:r>
    </w:p>
    <w:p>
      <w:pPr>
        <w:ind w:left="880"/>
      </w:pPr>
      <w:r>
        <w:t>第二条の規定による改正後の独立行政法人福祉医療機構の業務運営、財務及び会計並びに人事管理に関する省令第十三条及び第十三条の二第二項</w:t>
      </w:r>
    </w:p>
    <w:p>
      <w:pPr>
        <w:pStyle w:val="Heading6"/>
        <w:ind w:left="880"/>
      </w:pPr>
      <w:r>
        <w:t>三</w:t>
      </w:r>
    </w:p>
    <w:p>
      <w:pPr>
        <w:ind w:left="880"/>
      </w:pPr>
      <w:r>
        <w:t>第三条の規定による改正後の独立行政法人国立重度知的障害者総合施設のぞみの園の業務運営、財務及び会計並びに人事管理に関する省令第十条及び第十条の二第二項</w:t>
      </w:r>
    </w:p>
    <w:p>
      <w:pPr>
        <w:pStyle w:val="Heading6"/>
        <w:ind w:left="880"/>
      </w:pPr>
      <w:r>
        <w:t>四</w:t>
      </w:r>
    </w:p>
    <w:p>
      <w:pPr>
        <w:ind w:left="880"/>
      </w:pPr>
      <w:r>
        <w:t>第四条の規定による改正後の独立行政法人労働政策研究・研修機構の業務運営、財務及び会計並びに人事管理に関する省令第十二条及び第十二条の二第二項</w:t>
      </w:r>
    </w:p>
    <w:p>
      <w:pPr>
        <w:pStyle w:val="Heading6"/>
        <w:ind w:left="880"/>
      </w:pPr>
      <w:r>
        <w:t>五</w:t>
      </w:r>
    </w:p>
    <w:p>
      <w:pPr>
        <w:ind w:left="880"/>
      </w:pPr>
      <w:r>
        <w:t>第五条の規定による改正後の独立行政法人勤労者退職金共済機構の業務運営、財務及び会計並びに人事管理に関する省令第十五条及び第十五条の二第二項</w:t>
      </w:r>
    </w:p>
    <w:p>
      <w:pPr>
        <w:pStyle w:val="Heading6"/>
        <w:ind w:left="880"/>
      </w:pPr>
      <w:r>
        <w:t>六</w:t>
      </w:r>
    </w:p>
    <w:p>
      <w:pPr>
        <w:ind w:left="880"/>
      </w:pPr>
      <w:r>
        <w:t>第六条の規定による改正後の独立行政法人医薬品医療機器総合機構の業務運営、財務及び会計並びに人事管理に関する省令第十三条及び第十三条の二第二項</w:t>
      </w:r>
    </w:p>
    <w:p>
      <w:pPr>
        <w:pStyle w:val="Heading6"/>
        <w:ind w:left="880"/>
      </w:pPr>
      <w:r>
        <w:t>七</w:t>
      </w:r>
    </w:p>
    <w:p>
      <w:pPr>
        <w:ind w:left="880"/>
      </w:pPr>
      <w:r>
        <w:t>第七条の規定による改正後の独立行政法人労働者健康安全機構の業務運営、財務及び会計並びに人事管理に関する省令第十二条及び第十二条の二第二項</w:t>
      </w:r>
    </w:p>
    <w:p>
      <w:pPr>
        <w:pStyle w:val="Heading6"/>
        <w:ind w:left="880"/>
      </w:pPr>
      <w:r>
        <w:t>八</w:t>
      </w:r>
    </w:p>
    <w:p>
      <w:pPr>
        <w:ind w:left="880"/>
      </w:pPr>
      <w:r>
        <w:t>第八条の規定による改正後の独立行政法人国立病院機構の業務運営、財務及び会計並びに人事管理に関する省令第十条及び第十二条の二第二項</w:t>
      </w:r>
    </w:p>
    <w:p>
      <w:pPr>
        <w:pStyle w:val="Heading6"/>
        <w:ind w:left="880"/>
      </w:pPr>
      <w:r>
        <w:t>九</w:t>
      </w:r>
    </w:p>
    <w:p>
      <w:pPr>
        <w:ind w:left="880"/>
      </w:pPr>
      <w:r>
        <w:t>第九条の規定による改正後の独立行政法人地域医療機能推進機構の業務運営、財務及び会計並びに人事管理に関する省令第十一条及び第十二条の二第二項</w:t>
      </w:r>
    </w:p>
    <w:p>
      <w:pPr>
        <w:pStyle w:val="Heading6"/>
        <w:ind w:left="880"/>
      </w:pPr>
      <w:r>
        <w:t>十</w:t>
      </w:r>
    </w:p>
    <w:p>
      <w:pPr>
        <w:ind w:left="880"/>
      </w:pPr>
      <w:r>
        <w:t>第十条の規定による改正後の年金積立金管理運用独立行政法人の業務運営、財務及び会計並びに人事管理に関する省令第十一条及び第十一条の三第二項</w:t>
      </w:r>
    </w:p>
    <w:p>
      <w:pPr>
        <w:pStyle w:val="Heading6"/>
        <w:ind w:left="880"/>
      </w:pPr>
      <w:r>
        <w:t>十一</w:t>
      </w:r>
    </w:p>
    <w:p>
      <w:pPr>
        <w:ind w:left="880"/>
      </w:pPr>
      <w:r>
        <w:t>第十二条の規定による改正後の高度専門医療に関する研究等を行う国立研究開発法人の業務運営、財務及び会計並びに人事管理に関する省令第十条及び第十条の二第二項</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則（令和元年一二月二日厚生労働省令第七七号）</w:t>
      </w:r>
    </w:p>
    <w:p>
      <w:r>
        <w:t>この省令は、公布の日から施行する。</w:t>
      </w:r>
    </w:p>
    <w:p>
      <w:r>
        <w:br w:type="page"/>
      </w:r>
    </w:p>
    <w:p>
      <w:pPr>
        <w:pStyle w:val="Heading1"/>
      </w:pPr>
      <w:r>
        <w:t>附　則（令和二年四月二二日厚生労働省令第八八号）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独立行政法人勤労者退職金共済機構の業務運営、財務及び会計並びに人事管理に関する省令</w:t>
      <w:br/>
      <w:tab/>
      <w:t>（平成十五年厚生労働省令第百五十二号）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独立行政法人勤労者退職金共済機構の業務運営、財務及び会計並びに人事管理に関する省令（平成十五年厚生労働省令第百五十二号）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