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独立行政法人医薬品医療機器総合機構の業務運営、財務及び会計並びに人事管理に関する省令</w:t>
        <w:br/>
        <w:t>（平成十六年厚生労働省令第五十五号）</w:t>
      </w:r>
    </w:p>
    <w:p>
      <w:pPr>
        <w:pStyle w:val="Heading4"/>
      </w:pPr>
      <w:r>
        <w:t>第一条（機構が行う調査に係る厚生労働省令で定めるもの）</w:t>
      </w:r>
    </w:p>
    <w:p>
      <w:r>
        <w:t>独立行政法人医薬品医療機器総合機構法（以下「法」という。）第十五条第一項第五号ロの厚生労働省令で定めるものは、医薬品、医薬部外品、化粧品、医療機器及び再生医療等製品の品質、有効性及び安全性とする。</w:t>
      </w:r>
    </w:p>
    <w:p>
      <w:pPr>
        <w:pStyle w:val="Heading4"/>
      </w:pPr>
      <w:r>
        <w:t>第一条の二（通則法第八条第三項の主務省令で定める重要な財産）</w:t>
      </w:r>
    </w:p>
    <w:p>
      <w:r>
        <w:t>独立行政法人医薬品医療機器総合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第一条の三（監査報告の作成）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第一条の四（監事の調査の対象となる書類）</w:t>
      </w:r>
    </w:p>
    <w:p>
      <w:r>
        <w:t>機構に係る通則法第十九条第六項第二号に規定する主務省令で定める書類は、法、独立行政法人医薬品医療機器総合機構法施行令（以下「令」という。）及びこの省令の規定に基づき厚生労働大臣に提出する書類とする。</w:t>
      </w:r>
    </w:p>
    <w:p>
      <w:pPr>
        <w:pStyle w:val="Heading4"/>
      </w:pPr>
      <w:r>
        <w:t>第二条（業務方法書の記載事項）</w:t>
      </w:r>
    </w:p>
    <w:p>
      <w:r>
        <w:t>機構に係る通則法第二十八条第二項の主務省令で定める事項は、次のとおりとする。</w:t>
      </w:r>
    </w:p>
    <w:p>
      <w:pPr>
        <w:pStyle w:val="ListBullet"/>
        <w:ind w:left="880"/>
      </w:pPr>
      <w:r>
        <w:t>一</w:t>
        <w:br/>
        <w:t>法第十五条第一項第一号に規定する業務に関する事項</w:t>
      </w:r>
    </w:p>
    <w:p>
      <w:pPr>
        <w:pStyle w:val="ListBullet"/>
        <w:ind w:left="880"/>
      </w:pPr>
      <w:r>
        <w:t>二</w:t>
        <w:br/>
        <w:t>法第十五条第一項第二号に規定する業務に関する事項</w:t>
      </w:r>
    </w:p>
    <w:p>
      <w:pPr>
        <w:pStyle w:val="ListBullet"/>
        <w:ind w:left="880"/>
      </w:pPr>
      <w:r>
        <w:t>三</w:t>
        <w:br/>
        <w:t>削除</w:t>
      </w:r>
    </w:p>
    <w:p>
      <w:pPr>
        <w:pStyle w:val="ListBullet"/>
        <w:ind w:left="880"/>
      </w:pPr>
      <w:r>
        <w:t>四</w:t>
        <w:br/>
        <w:t>削除</w:t>
      </w:r>
    </w:p>
    <w:p>
      <w:pPr>
        <w:pStyle w:val="ListBullet"/>
        <w:ind w:left="880"/>
      </w:pPr>
      <w:r>
        <w:t>五</w:t>
        <w:br/>
        <w:t>法第十五条第一項第五号に規定する業務に関する事項</w:t>
      </w:r>
    </w:p>
    <w:p>
      <w:pPr>
        <w:pStyle w:val="ListBullet"/>
        <w:ind w:left="880"/>
      </w:pPr>
      <w:r>
        <w:t>六</w:t>
        <w:br/>
        <w:t>法第十五条第二項に規定する業務に関する事項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その他機構の業務の執行に関して必要な事項</w:t>
      </w:r>
    </w:p>
    <w:p>
      <w:pPr>
        <w:pStyle w:val="Heading4"/>
      </w:pPr>
      <w:r>
        <w:t>第三条（中期計画の認可の申請）</w:t>
      </w:r>
    </w:p>
    <w:p>
      <w:r>
        <w:t>機構は、通則法第三十条第一項の規定により中期計画の認可を受けようとするときは、当該中期計画の最初の事業年度開始の日の三十日前までに（機構の最初の事業年度に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第四条（中期計画の記載事項）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法第三十一条第一項に規定する積立金の処分に関する事項</w:t>
      </w:r>
    </w:p>
    <w:p>
      <w:pPr>
        <w:pStyle w:val="Heading4"/>
      </w:pPr>
      <w:r>
        <w:t>第五条（年度計画の記載事項等）</w:t>
      </w:r>
    </w:p>
    <w:p>
      <w:r>
        <w:t>機構に係る通則法第三十一条第一項に規定する年度計画には、法第二十九条第三項に規定するもののほか、中期計画に定めた事項に関し、当該事業年度において実施すべき事項を記載しなければならない。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第六条（業務実績等報告書）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第七条</w:t>
      </w:r>
    </w:p>
    <w:p>
      <w:r>
        <w:t>削除</w:t>
      </w:r>
    </w:p>
    <w:p>
      <w:pPr>
        <w:pStyle w:val="Heading4"/>
      </w:pPr>
      <w:r>
        <w:t>第八条</w:t>
      </w:r>
    </w:p>
    <w:p>
      <w:r>
        <w:t>削除</w:t>
      </w:r>
    </w:p>
    <w:p>
      <w:pPr>
        <w:pStyle w:val="Heading4"/>
      </w:pPr>
      <w:r>
        <w:t>第九条（企業会計原則等）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第十条（共通経費の配賦基準）</w:t>
      </w:r>
    </w:p>
    <w:p>
      <w:r>
        <w:t>機構は、法第二十九条第一項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厚生労働大臣の承認を受けて定める基準に従って、各勘定に配分することにより経理することができる。</w:t>
      </w:r>
    </w:p>
    <w:p>
      <w:pPr>
        <w:pStyle w:val="Heading4"/>
      </w:pPr>
      <w:r>
        <w:t>第十一条（勘定間の資金の融通）</w:t>
      </w:r>
    </w:p>
    <w:p>
      <w:r>
        <w:t>法第二十九条第二項の規定による副作用救済勘定と感染救済勘定との間における資金の融通は、融通をする勘定からその融通を受ける勘定への貸付けとして整理するものとする。</w:t>
      </w:r>
    </w:p>
    <w:p>
      <w:pPr>
        <w:pStyle w:val="Heading5"/>
        <w:ind w:left="440"/>
      </w:pPr>
      <w:r>
        <w:t>２</w:t>
      </w:r>
    </w:p>
    <w:p>
      <w:pPr>
        <w:ind w:left="440"/>
      </w:pPr>
      <w:r>
        <w:t>前項の貸付けに係る利率は、厚生労働大臣が定める利率を下ることはできない。</w:t>
      </w:r>
    </w:p>
    <w:p>
      <w:pPr>
        <w:pStyle w:val="Heading5"/>
        <w:ind w:left="440"/>
      </w:pPr>
      <w:r>
        <w:t>３</w:t>
      </w:r>
    </w:p>
    <w:p>
      <w:pPr>
        <w:ind w:left="440"/>
      </w:pPr>
      <w:r>
        <w:t>機構は、法第二十九条第二項の規定による資金の融通について同項の認可を受けようとするときは、次に掲げる事項を記載した申請書を厚生労働大臣に提出しなければならない。</w:t>
      </w:r>
    </w:p>
    <w:p>
      <w:pPr>
        <w:pStyle w:val="ListBullet"/>
        <w:ind w:left="880"/>
      </w:pPr>
      <w:r>
        <w:t>一</w:t>
        <w:br/>
        <w:t>資金の融通を必要とする理由</w:t>
      </w:r>
    </w:p>
    <w:p>
      <w:pPr>
        <w:pStyle w:val="ListBullet"/>
        <w:ind w:left="880"/>
      </w:pPr>
      <w:r>
        <w:t>二</w:t>
        <w:br/>
        <w:t>資金の融通の額</w:t>
      </w:r>
    </w:p>
    <w:p>
      <w:pPr>
        <w:pStyle w:val="ListBullet"/>
        <w:ind w:left="880"/>
      </w:pPr>
      <w:r>
        <w:t>三</w:t>
        <w:br/>
        <w:t>資金の融通を受ける勘定</w:t>
      </w:r>
    </w:p>
    <w:p>
      <w:pPr>
        <w:pStyle w:val="ListBullet"/>
        <w:ind w:left="880"/>
      </w:pPr>
      <w:r>
        <w:t>四</w:t>
        <w:br/>
        <w:t>貸付けに係る利率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第十四条（財務諸表等の閲覧期間）</w:t>
      </w:r>
    </w:p>
    <w:p>
      <w:r>
        <w:t>機構に係る通則法第三十八条第三項の主務省令で定める期間は、五年とする。</w:t>
      </w:r>
    </w:p>
    <w:p>
      <w:pPr>
        <w:pStyle w:val="Heading4"/>
      </w:pPr>
      <w:r>
        <w:t>第十四条の二（会計監査報告の作成）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第十五条（積立金の処分に係る承認申請書の添付書類）</w:t>
      </w:r>
    </w:p>
    <w:p>
      <w:r>
        <w:t>令第二十七条第二項の厚生労働省令で定める書類は、承認を受けようとする金額の計算の基礎を明らかにした書類とする。</w:t>
      </w:r>
    </w:p>
    <w:p>
      <w:pPr>
        <w:pStyle w:val="Heading4"/>
      </w:pPr>
      <w:r>
        <w:t>第十六条（短期借入金の認可の申請）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第十七条（償還計画の認可の申請）</w:t>
      </w:r>
    </w:p>
    <w:p>
      <w:r>
        <w:t>機構は、法第三十三条の規定により償還計画の認可を受けようとするときは、通則法第三十一条第一項前段の規定により年度計画を届け出た後遅滞なく、次に掲げる事項を記載した申請書を厚生労働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第十八条（通則法第四十八条の主務省令で定める重要な財産）</w:t>
      </w:r>
    </w:p>
    <w:p>
      <w:r>
        <w:t>機構に係る通則法第四十八条の主務省令で定める重要な財産は、厚生労働大臣が指定する財産とする。</w:t>
      </w:r>
    </w:p>
    <w:p>
      <w:pPr>
        <w:pStyle w:val="Heading4"/>
      </w:pPr>
      <w:r>
        <w:t>第十九条（通則法第四十八条の主務省令で定める重要な財産の処分等の認可の申請）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r>
        <w:br w:type="page"/>
      </w:r>
    </w:p>
    <w:p>
      <w:pPr>
        <w:pStyle w:val="Heading1"/>
      </w:pPr>
      <w:r>
        <w:t>附　則</w:t>
      </w:r>
    </w:p>
    <w:p>
      <w:pPr>
        <w:pStyle w:val="Heading4"/>
      </w:pPr>
      <w:r>
        <w:t>第一条（施行期日）</w:t>
      </w:r>
    </w:p>
    <w:p>
      <w:r>
        <w:t>この省令は、平成十六年四月一日から施行する。</w:t>
        <w:br/>
        <w:t>ただし、次条の規定は、公布の日から施行する。</w:t>
      </w:r>
    </w:p>
    <w:p>
      <w:pPr>
        <w:pStyle w:val="Heading4"/>
      </w:pPr>
      <w:r>
        <w:t>第二条（持分の払戻しに係る資産の価額の評価）</w:t>
      </w:r>
    </w:p>
    <w:p>
      <w:r>
        <w:t>厚生労働大臣が法附則第四条第三項の評価をしようとするときは、あらかじめ評価委員の意見を聴かなければならない。</w:t>
      </w:r>
    </w:p>
    <w:p>
      <w:pPr>
        <w:pStyle w:val="Heading5"/>
        <w:ind w:left="440"/>
      </w:pPr>
      <w:r>
        <w:t>２</w:t>
      </w:r>
    </w:p>
    <w:p>
      <w:pPr>
        <w:ind w:left="440"/>
      </w:pPr>
      <w:r>
        <w:t>前項の評価委員は、次に掲げる者につき厚生労働大臣が任命する。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医薬品副作用被害救済・研究振興調査機構（以下「旧機構」という。）の役員（旧機構が解散した後は、旧機構の役員であった者）</w:t>
        <w:br/>
        <w:br/>
        <w:br/>
        <w:t>一人</w:t>
      </w:r>
    </w:p>
    <w:p>
      <w:pPr>
        <w:pStyle w:val="ListBullet"/>
        <w:ind w:left="880"/>
      </w:pPr>
      <w:r>
        <w:t>四</w:t>
        <w:br/>
        <w:t>学識経験のある者</w:t>
        <w:br/>
        <w:br/>
        <w:br/>
        <w:t>二人</w:t>
      </w:r>
    </w:p>
    <w:p>
      <w:pPr>
        <w:pStyle w:val="Heading5"/>
        <w:ind w:left="440"/>
      </w:pPr>
      <w:r>
        <w:t>３</w:t>
      </w:r>
    </w:p>
    <w:p>
      <w:pPr>
        <w:ind w:left="440"/>
      </w:pPr>
      <w:r>
        <w:t>法附則第四条第三項に規定する評価に関する庶務は、厚生労働省医薬食品局総務課において処理する。</w:t>
      </w:r>
    </w:p>
    <w:p>
      <w:pPr>
        <w:pStyle w:val="Heading4"/>
      </w:pPr>
      <w:r>
        <w:t>第三条（職員の引継ぎに係る省令で定める国立医薬品食品衛生研究所の内部組織）</w:t>
      </w:r>
    </w:p>
    <w:p>
      <w:r>
        <w:t>令附則第二条に規定する厚生労働省令で定める国立医薬品食品衛生研究所の内部組織は、医薬品医療機器審査センターとする。</w:t>
      </w:r>
    </w:p>
    <w:p>
      <w:pPr>
        <w:pStyle w:val="Heading4"/>
      </w:pPr>
      <w:r>
        <w:t>第四条（業務方法書に記載すべき事項の特例）</w:t>
      </w:r>
    </w:p>
    <w:p>
      <w:r>
        <w:t>機構が法附則第十五条第一項、第十七条第一項及び第十八条第一項に規定する業務を行う場合には、機構に係る通則法第二十八条第二項の主務省令で定める事項は、第二条各号に掲げる事項のほか、機構法附則第十五条第一項、第十七条第一項及び第十八条第一項に規定する業務に関する事項とする。</w:t>
      </w:r>
    </w:p>
    <w:p>
      <w:pPr>
        <w:pStyle w:val="Heading4"/>
      </w:pPr>
      <w:r>
        <w:t>第五条（共通経費の配賦基準の特例）</w:t>
      </w:r>
    </w:p>
    <w:p>
      <w:r>
        <w:t>法附則第十五条第四項、第十七条第二項及び第十八条第二項の規定により特別の勘定を設けて経理する場合には、第十条中「法第二十九条第一項の規定により区分して経理する場合」とあるのは「法第二十九条第一項の規定により区分して経理する場合並びに法附則第十五条第四項、第十七条第二項及び第十八条第二項の規定により特別の勘定を設けて経理する場合」とする。</w:t>
      </w:r>
    </w:p>
    <w:p>
      <w:pPr>
        <w:pStyle w:val="Heading4"/>
      </w:pPr>
      <w:r>
        <w:t>第六条（承継時の償却資産に関する経過措置）</w:t>
      </w:r>
    </w:p>
    <w:p>
      <w:r>
        <w:t>機構の成立の際法附則第十二条第二項及び第十三条第七項の規定により政府から出資があったものとされた償却資産については、第十二条第一項の指定を受けたものとみなして、同条第二項の規定を適用する。</w:t>
      </w:r>
    </w:p>
    <w:p>
      <w:pPr>
        <w:pStyle w:val="Heading4"/>
      </w:pPr>
      <w:r>
        <w:t>第七条（医薬品副作用被害救済・研究振興調査機構の財務及び会計に関する省令等の廃止）</w:t>
      </w:r>
    </w:p>
    <w:p>
      <w:r>
        <w:t>医薬品副作用被害救済・研究振興調査機構の財務及び会計に関する省令（昭和五十四年厚生省令第四十八号）及び薬事法第十四条の三第一項に規定する指定調査機関を指定する省令（平成十三年厚生労働省令第二十八号）は、廃止する。</w:t>
      </w:r>
    </w:p>
    <w:p>
      <w:r>
        <w:br w:type="page"/>
      </w:r>
    </w:p>
    <w:p>
      <w:pPr>
        <w:pStyle w:val="Heading1"/>
      </w:pPr>
      <w:r>
        <w:t>附則（平成一六年一一月一七日厚生労働省令第一五七号）</w:t>
      </w:r>
    </w:p>
    <w:p>
      <w:pPr>
        <w:pStyle w:val="Heading4"/>
      </w:pPr>
      <w:r>
        <w:t>第一条（施行期日）</w:t>
      </w:r>
    </w:p>
    <w:p>
      <w:r>
        <w:t>この省令は、公布の日から施行する。</w:t>
        <w:br/>
        <w:t>ただし、附則第三条、第四条、第六条及び第七条の規定は、平成十七年四月一日から施行する。</w:t>
      </w:r>
    </w:p>
    <w:p>
      <w:r>
        <w:br w:type="page"/>
      </w:r>
    </w:p>
    <w:p>
      <w:pPr>
        <w:pStyle w:val="Heading1"/>
      </w:pPr>
      <w:r>
        <w:t>附則（平成一七年三月三一日厚生労働省令第六三号）</w:t>
      </w:r>
    </w:p>
    <w:p>
      <w:pPr>
        <w:pStyle w:val="Heading4"/>
      </w:pPr>
      <w:r>
        <w:t>第一条（施行期日）</w:t>
      </w:r>
    </w:p>
    <w:p>
      <w:r>
        <w:t>この省令は、平成十七年四月一日から施行する。</w:t>
      </w:r>
    </w:p>
    <w:p>
      <w:r>
        <w:br w:type="page"/>
      </w:r>
    </w:p>
    <w:p>
      <w:pPr>
        <w:pStyle w:val="Heading1"/>
      </w:pPr>
      <w:r>
        <w:t>附則（平成二〇年一月三一日厚生労働省令第七号）</w:t>
      </w:r>
    </w:p>
    <w:p>
      <w:r>
        <w:t>この省令は、公布の日から施行し、平成二十年一月十六日から適用する。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七</w:t>
        <w:br/>
        <w:t>新医薬品医療機器総合機構財会省令第十三条の二第三項</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第二条（対応する収益の獲得が予定されない承継資産に係る特例）</w:t>
      </w:r>
    </w:p>
    <w:p>
      <w:r>
        <w:t>独立行政法人高齢・障害・求職者雇用支援機構法（平成十四年法律第百六十五号）附則第三条第六項の規定により独立行政法人高齢・障害・求職者雇用支援機構（以下この条において「機構」という。）に出資されたものとされる資産及び独立行政法人雇用・能力開発機構法を廃止する法律（平成二十三年法律第二十六号）附則第三条第一項の規定により機構に出資されたものとされる資産のうち棚卸資産については、第一条の規定による改正後の独立行政法人高齢・障害・求職者雇用支援機構の業務運営、財務及び会計並びに人事管理に関する省令第十二条の四第一項の指定を受けたものとみなす。</w:t>
      </w:r>
    </w:p>
    <w:p>
      <w:pPr>
        <w:pStyle w:val="Heading4"/>
      </w:pPr>
      <w:r>
        <w:t>第三条</w:t>
      </w:r>
    </w:p>
    <w:p>
      <w:r>
        <w:t>独立行政法人福祉医療機構法（平成十四年法律第百六十六号）附則第二条第九項の規定により独立行政法人福祉医療機構に出資されたものとされる資産のうち敷金及び保証金については、第二条の規定による改正後の独立行政法人福祉医療機構の業務運営、財務及び会計並びに人事管理に関する省令第十二条の四第一項の指定を受けたものとみなす。</w:t>
      </w:r>
    </w:p>
    <w:p>
      <w:pPr>
        <w:pStyle w:val="Heading4"/>
      </w:pPr>
      <w:r>
        <w:t>第四条</w:t>
      </w:r>
    </w:p>
    <w:p>
      <w:r>
        <w:t>独立行政法人労働者健康安全機構法（平成十四年法律第百七十一号）附則第二条第一項の規定により独立行政法人労働者健康安全機構（以下この条において「機構」という。）に出資されたものとされる資産及び独立行政法人に係る改革を推進するための厚生労働省関係法律の整備等に関する法律（平成二十七年法律第十七号）附則第八条第一項の規定により機構に出資されたものとされる資産のうち棚卸資産及び前払費用については、第七条の規定による改正後の独立行政法人労働者健康安全機構の業務運営、財務及び会計並びに人事管理に関する省令第十一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w:t>
        <w:br/>
        <w:t>第一条の規定による改正後の独立行政法人高齢・障害・求職者雇用支援機構の業務運営、財務及び会計並びに人事管理に関する省令第十三条及び第十三条の二第二項</w:t>
      </w:r>
    </w:p>
    <w:p>
      <w:pPr>
        <w:pStyle w:val="ListBullet"/>
        <w:ind w:left="880"/>
      </w:pPr>
      <w:r>
        <w:t>二</w:t>
        <w:br/>
        <w:t>第二条の規定による改正後の独立行政法人福祉医療機構の業務運営、財務及び会計並びに人事管理に関する省令第十三条及び第十三条の二第二項</w:t>
      </w:r>
    </w:p>
    <w:p>
      <w:pPr>
        <w:pStyle w:val="ListBullet"/>
        <w:ind w:left="880"/>
      </w:pPr>
      <w:r>
        <w:t>三</w:t>
        <w:br/>
        <w:t>第三条の規定による改正後の独立行政法人国立重度知的障害者総合施設のぞみの園の業務運営、財務及び会計並びに人事管理に関する省令第十条及び第十条の二第二項</w:t>
      </w:r>
    </w:p>
    <w:p>
      <w:pPr>
        <w:pStyle w:val="ListBullet"/>
        <w:ind w:left="880"/>
      </w:pPr>
      <w:r>
        <w:t>四</w:t>
        <w:br/>
        <w:t>第四条の規定による改正後の独立行政法人労働政策研究・研修機構の業務運営、財務及び会計並びに人事管理に関する省令第十二条及び第十二条の二第二項</w:t>
      </w:r>
    </w:p>
    <w:p>
      <w:pPr>
        <w:pStyle w:val="ListBullet"/>
        <w:ind w:left="880"/>
      </w:pPr>
      <w:r>
        <w:t>五</w:t>
        <w:br/>
        <w:t>第五条の規定による改正後の独立行政法人勤労者退職金共済機構の業務運営、財務及び会計並びに人事管理に関する省令第十五条及び第十五条の二第二項</w:t>
      </w:r>
    </w:p>
    <w:p>
      <w:pPr>
        <w:pStyle w:val="ListBullet"/>
        <w:ind w:left="880"/>
      </w:pPr>
      <w:r>
        <w:t>六</w:t>
        <w:br/>
        <w:t>第六条の規定による改正後の独立行政法人医薬品医療機器総合機構の業務運営、財務及び会計並びに人事管理に関する省令第十三条及び第十三条の二第二項</w:t>
      </w:r>
    </w:p>
    <w:p>
      <w:pPr>
        <w:pStyle w:val="ListBullet"/>
        <w:ind w:left="880"/>
      </w:pPr>
      <w:r>
        <w:t>七</w:t>
        <w:br/>
        <w:t>第七条の規定による改正後の独立行政法人労働者健康安全機構の業務運営、財務及び会計並びに人事管理に関する省令第十二条及び第十二条の二第二項</w:t>
      </w:r>
    </w:p>
    <w:p>
      <w:pPr>
        <w:pStyle w:val="ListBullet"/>
        <w:ind w:left="880"/>
      </w:pPr>
      <w:r>
        <w:t>八</w:t>
        <w:br/>
        <w:t>第八条の規定による改正後の独立行政法人国立病院機構の業務運営、財務及び会計並びに人事管理に関する省令第十条及び第十二条の二第二項</w:t>
      </w:r>
    </w:p>
    <w:p>
      <w:pPr>
        <w:pStyle w:val="ListBullet"/>
        <w:ind w:left="880"/>
      </w:pPr>
      <w:r>
        <w:t>九</w:t>
        <w:br/>
        <w:t>第九条の規定による改正後の独立行政法人地域医療機能推進機構の業務運営、財務及び会計並びに人事管理に関する省令第十一条及び第十二条の二第二項</w:t>
      </w:r>
    </w:p>
    <w:p>
      <w:pPr>
        <w:pStyle w:val="ListBullet"/>
        <w:ind w:left="880"/>
      </w:pPr>
      <w:r>
        <w:t>十</w:t>
        <w:br/>
        <w:t>第十条の規定による改正後の年金積立金管理運用独立行政法人の業務運営、財務及び会計並びに人事管理に関する省令第十一条及び第十一条の三第二項</w:t>
      </w:r>
    </w:p>
    <w:p>
      <w:pPr>
        <w:pStyle w:val="ListBullet"/>
        <w:ind w:left="880"/>
      </w:pPr>
      <w:r>
        <w:t>十一</w:t>
        <w:br/>
        <w:t>第十二条の規定による改正後の高度専門医療に関する研究等を行う国立研究開発法人の業務運営、財務及び会計並びに人事管理に関する省令第十条及び第十条の二第二項</w:t>
      </w:r>
    </w:p>
    <w:p>
      <w:pPr>
        <w:pStyle w:val="Heading4"/>
      </w:pPr>
      <w:r>
        <w:t>第六条（財務諸表の作成に係る経過措置）</w:t>
      </w:r>
    </w:p>
    <w:p>
      <w:r>
        <w:t>第十一条の規定による改正後の日本年金機構の財務及び会計に関する省令第三条の規定は、平成三十一年四月一日以後に開始する事業年度に係る財務諸表（日本年金機構法（平成十九年法律第百九号）第四十一条第一項に規定する財務諸表をいう。以下この条において同じ。）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独立行政法人医薬品医療機器総合機構の業務運営、財務及び会計並びに人事管理に関する省令</w:t>
      <w:br/>
      <w:tab/>
      <w:t>（平成十六年厚生労働省令第五十五号）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独立行政法人医薬品医療機器総合機構の業務運営、財務及び会計並びに人事管理に関する省令（平成十六年厚生労働省令第五十五号）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