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独立行政法人国立女性教育会館法</w:t>
        <w:br/>
        <w:t>（平成十一年法律第百六十八号）</w:t>
      </w:r>
    </w:p>
    <w:p>
      <w:pPr>
        <w:pStyle w:val="Heading2"/>
      </w:pPr>
      <w:r>
        <w:t>第一章　総則</w:t>
      </w:r>
    </w:p>
    <w:p>
      <w:pPr>
        <w:pStyle w:val="Heading4"/>
      </w:pPr>
      <w:r>
        <w:t>第一条（目的）</w:t>
      </w:r>
    </w:p>
    <w:p>
      <w:r>
        <w:t>この法律は、独立行政法人国立女性教育会館の名称、目的、業務の範囲等に関する事項を定めることを目的とする。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女性教育会館とする。</w:t>
      </w:r>
    </w:p>
    <w:p>
      <w:pPr>
        <w:pStyle w:val="Heading4"/>
      </w:pPr>
      <w:r>
        <w:t>第三条（会館の目的）</w:t>
      </w:r>
    </w:p>
    <w:p>
      <w:r>
        <w:t>独立行政法人国立女性教育会館（以下「会館」という。）は、女性教育指導者その他の女性教育関係者（第十一条第一項において「女性教育指導者等」という。）に対する研修、女性教育に関する専門的な調査及び研究等を行うことにより、女性教育の振興を図り、もって男女共同参画社会の形成の促進に資することを目的とする。</w:t>
      </w:r>
    </w:p>
    <w:p>
      <w:pPr>
        <w:pStyle w:val="Heading4"/>
      </w:pPr>
      <w:r>
        <w:t>第三条の二（中期目標管理法人）</w:t>
      </w:r>
    </w:p>
    <w:p>
      <w:r>
        <w:t>会館は、通則法第二条第二項に規定する中期目標管理法人とする。</w:t>
      </w:r>
    </w:p>
    <w:p>
      <w:pPr>
        <w:pStyle w:val="Heading4"/>
      </w:pPr>
      <w:r>
        <w:t>第四条（事務所）</w:t>
      </w:r>
    </w:p>
    <w:p>
      <w:r>
        <w:t>会館は、主たる事務所を埼玉県に置く。</w:t>
      </w:r>
    </w:p>
    <w:p>
      <w:pPr>
        <w:pStyle w:val="Heading4"/>
      </w:pPr>
      <w:r>
        <w:t>第五条（資本金）</w:t>
      </w:r>
    </w:p>
    <w:p>
      <w:r>
        <w:t>会館の資本金は、附則第五条第二項の規定により政府から出資があったものとされた金額とする。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政府は、必要があると認めるときは、予算で定める金額の範囲内において、会館に追加して出資することができる。</w:t>
      </w:r>
    </w:p>
    <w:p>
      <w:pPr>
        <w:pStyle w:val="Heading5"/>
        <w:ind w:left="440"/>
      </w:pPr>
      <w:r>
        <w:t>３</w:t>
      </w:r>
    </w:p>
    <w:p>
      <w:pPr>
        <w:ind w:left="440"/>
      </w:pPr>
      <w:r>
        <w:t>会館は、前項又は附則第六条第一項の規定による政府の出資があったときは、その出資額により資本金を増加するものとする。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会館に、役員として、その長である理事長及び監事二人を置く。</w:t>
      </w:r>
    </w:p>
    <w:p>
      <w:pPr>
        <w:pStyle w:val="Heading5"/>
        <w:ind w:left="440"/>
      </w:pPr>
      <w:r>
        <w:t>２</w:t>
      </w:r>
    </w:p>
    <w:p>
      <w:pPr>
        <w:ind w:left="440"/>
      </w:pPr>
      <w:r>
        <w:t>会館に、役員として、理事一人を置くことができる。</w:t>
      </w:r>
    </w:p>
    <w:p>
      <w:pPr>
        <w:pStyle w:val="Heading4"/>
      </w:pPr>
      <w:r>
        <w:t>第七条（理事の職務及び権限等）</w:t>
      </w:r>
    </w:p>
    <w:p>
      <w:r>
        <w:t>理事は、理事長の定めるところにより、理事長を補佐して会館の業務を掌理する。</w:t>
      </w:r>
    </w:p>
    <w:p>
      <w:pPr>
        <w:pStyle w:val="Heading5"/>
        <w:ind w:left="440"/>
      </w:pPr>
      <w:r>
        <w:t>２</w:t>
      </w:r>
    </w:p>
    <w:p>
      <w:pPr>
        <w:ind w:left="440"/>
      </w:pPr>
      <w:r>
        <w:t>通則法第十九条第二項の個別法で定める役員は、理事とする。</w:t>
        <w:br/>
        <w:t>ただし、理事が置かれていないときは、監事とする。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第九条（役員及び職員の秘密保持義務）</w:t>
      </w:r>
    </w:p>
    <w:p>
      <w:r>
        <w:t>会館の役員及び職員は、職務上知ることのできた秘密を漏らしてはならない。</w:t>
        <w:br/>
        <w:t>その職を退いた後も、同様とする。</w:t>
      </w:r>
    </w:p>
    <w:p>
      <w:pPr>
        <w:pStyle w:val="Heading4"/>
      </w:pPr>
      <w:r>
        <w:t>第十条（役員及び職員の地位）</w:t>
      </w:r>
    </w:p>
    <w:p>
      <w:r>
        <w:t>会館の役員及び職員は、刑法（明治四十年法律第四十五号）その他の罰則の適用については、法令により公務に従事する職員とみなす。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第十一条（業務の範囲）</w:t>
      </w:r>
    </w:p>
    <w:p>
      <w:r>
        <w:t>会館は、第三条の目的を達成するため、次の業務を行う。</w:t>
      </w:r>
    </w:p>
    <w:p>
      <w:pPr>
        <w:pStyle w:val="ListBullet"/>
        <w:ind w:left="880"/>
      </w:pPr>
      <w:r>
        <w:t>一</w:t>
        <w:br/>
        <w:t>女性教育指導者等に対する研修のための施設を設置すること。</w:t>
      </w:r>
    </w:p>
    <w:p>
      <w:pPr>
        <w:pStyle w:val="ListBullet"/>
        <w:ind w:left="880"/>
      </w:pPr>
      <w:r>
        <w:t>二</w:t>
        <w:br/>
        <w:t>前号の施設において女性教育指導者等に対する研修を行うこと。</w:t>
      </w:r>
    </w:p>
    <w:p>
      <w:pPr>
        <w:pStyle w:val="ListBullet"/>
        <w:ind w:left="880"/>
      </w:pPr>
      <w:r>
        <w:t>三</w:t>
        <w:br/>
        <w:t>第一号の施設を女性教育指導者等に対する研修のための利用に供すること。</w:t>
      </w:r>
    </w:p>
    <w:p>
      <w:pPr>
        <w:pStyle w:val="ListBullet"/>
        <w:ind w:left="880"/>
      </w:pPr>
      <w:r>
        <w:t>四</w:t>
        <w:br/>
        <w:t>女性教育指導者等に対する研修に関し、指導及び助言を行うこと。</w:t>
      </w:r>
    </w:p>
    <w:p>
      <w:pPr>
        <w:pStyle w:val="ListBullet"/>
        <w:ind w:left="880"/>
      </w:pPr>
      <w:r>
        <w:t>五</w:t>
        <w:br/>
        <w:t>女性教育に関する専門的な調査及び研究を行うこと。</w:t>
      </w:r>
    </w:p>
    <w:p>
      <w:pPr>
        <w:pStyle w:val="ListBullet"/>
        <w:ind w:left="880"/>
      </w:pPr>
      <w:r>
        <w:t>六</w:t>
        <w:br/>
        <w:t>女性教育に関する情報及び資料を収集し、整理し、及び提供すること。</w:t>
      </w:r>
    </w:p>
    <w:p>
      <w:pPr>
        <w:pStyle w:val="ListBullet"/>
        <w:ind w:left="880"/>
      </w:pPr>
      <w:r>
        <w:t>七</w:t>
        <w:br/>
        <w:t>前各号の業務に附帯する業務を行うこと。</w:t>
      </w:r>
    </w:p>
    <w:p>
      <w:pPr>
        <w:pStyle w:val="Heading5"/>
        <w:ind w:left="440"/>
      </w:pPr>
      <w:r>
        <w:t>２</w:t>
      </w:r>
    </w:p>
    <w:p>
      <w:pPr>
        <w:ind w:left="440"/>
      </w:pPr>
      <w:r>
        <w:t>会館は、前項の業務のほか、同項の業務の遂行に支障のない範囲内で、同項第一号の施設を一般の利用に供することができる。</w:t>
      </w:r>
    </w:p>
    <w:p>
      <w:pPr>
        <w:pStyle w:val="Heading4"/>
      </w:pPr>
      <w:r>
        <w:t>第十二条（積立金の処分）</w:t>
      </w:r>
    </w:p>
    <w:p>
      <w:r>
        <w:t>会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会館は、第一項に規定する積立金の額に相当する金額から同項の規定による承認を受けた金額を控除してなお残余があるときは、その残余の額を国庫に納付しなければならない。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第十三条（主務大臣等）</w:t>
      </w:r>
    </w:p>
    <w:p>
      <w:r>
        <w:t>会館に係る通則法における主務大臣及び主務省令は、それぞれ文部科学大臣及び文部科学省令とする。</w:t>
      </w:r>
    </w:p>
    <w:p>
      <w:pPr>
        <w:pStyle w:val="Heading2"/>
      </w:pPr>
      <w:r>
        <w:t>第五章　罰則</w:t>
      </w:r>
    </w:p>
    <w:p>
      <w:pPr>
        <w:pStyle w:val="Heading4"/>
      </w:pPr>
      <w:r>
        <w:t>第十四条</w:t>
      </w:r>
    </w:p>
    <w:p>
      <w:r>
        <w:t>第九条の規定に違反して秘密を漏らした者は、一年以下の懲役又は五十万円以下の罰金に処する。</w:t>
      </w:r>
    </w:p>
    <w:p>
      <w:pPr>
        <w:pStyle w:val="Heading4"/>
      </w:pPr>
      <w:r>
        <w:t>第十五条</w:t>
      </w:r>
    </w:p>
    <w:p>
      <w:r>
        <w:t>次の各号のいずれかに該当する場合には、その違反行為をした会館の役員は、二十万円以下の過料に処する。</w:t>
      </w:r>
    </w:p>
    <w:p>
      <w:pPr>
        <w:pStyle w:val="ListBullet"/>
        <w:ind w:left="880"/>
      </w:pPr>
      <w:r>
        <w:t>一</w:t>
        <w:br/>
        <w:t>第十一条に規定する業務以外の業務を行ったとき。</w:t>
      </w:r>
    </w:p>
    <w:p>
      <w:pPr>
        <w:pStyle w:val="ListBullet"/>
        <w:ind w:left="880"/>
      </w:pPr>
      <w:r>
        <w:t>二</w:t>
        <w:br/>
        <w:t>第十二条第一項の規定により文部科学大臣の承認を受けなければならない場合において、その承認を受けなかったとき。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会館の成立の際現に文部科学省の機関で政令で定めるものの職員である者は、別に辞令を発せられない限り、会館の成立の日において、会館の相当の職員となるものとする。</w:t>
      </w:r>
    </w:p>
    <w:p>
      <w:pPr>
        <w:pStyle w:val="Heading4"/>
      </w:pPr>
      <w:r>
        <w:t>第三条</w:t>
      </w:r>
    </w:p>
    <w:p>
      <w:r>
        <w:t>会館の成立の際現に前条の政令で定める機関の職員である者のうち、会館の成立の日において引き続き会館の職員となったもの（次条において「引継職員」という。）であって、会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会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会館の成立の日において同法第七条第一項の規定による市町村長（特別区の区長を含む。）の認定があったものとみなす。</w:t>
        <w:br/>
        <w:t>この場合において、その認定があったものとみなされた児童手当又は特例給付等の支給は、同法第八条第二項（同法附則第六条第二項、第七条第四項又は第八条第四項において準用する場合を含む。）の規定にかかわらず、会館の成立の日の前日の属する月の翌月から始める。</w:t>
      </w:r>
    </w:p>
    <w:p>
      <w:pPr>
        <w:pStyle w:val="Heading4"/>
      </w:pPr>
      <w:r>
        <w:t>第四条（会館の職員となる者の職員団体についての経過措置）</w:t>
      </w:r>
    </w:p>
    <w:p>
      <w:r>
        <w:t>会館の成立の際現に存する国家公務員法（昭和二十二年法律第百二十号）第百八条の二第一項に規定する職員団体であって、その構成員の過半数が引継職員であるものは、会館の成立の際国営企業及び特定独立行政法人の労働関係に関する法律（昭和二十三年法律第二百五十七号）の適用を受ける労働組合となるものとする。</w:t>
        <w:br/>
        <w:t>この場合において、当該職員団体が法人であるときは、法人である労働組合となるものとする。</w:t>
      </w:r>
    </w:p>
    <w:p>
      <w:pPr>
        <w:pStyle w:val="Heading5"/>
        <w:ind w:left="440"/>
      </w:pPr>
      <w:r>
        <w:t>２</w:t>
      </w:r>
    </w:p>
    <w:p>
      <w:pPr>
        <w:ind w:left="440"/>
      </w:pPr>
      <w:r>
        <w:t>前項の規定により法人である労働組合となったものは、会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第一項の規定により労働組合となったものについては、会館の成立の日から起算して六十日を経過する日までは、労働組合法第二条ただし書（第一号に係る部分に限る。）の規定は、適用しない。</w:t>
      </w:r>
    </w:p>
    <w:p>
      <w:pPr>
        <w:pStyle w:val="Heading4"/>
      </w:pPr>
      <w:r>
        <w:t>第五条（権利義務の承継等）</w:t>
      </w:r>
    </w:p>
    <w:p>
      <w:r>
        <w:t>会館の成立の際、第十条第一項に規定する業務に関し、現に国が有する権利及び義務のうち政令で定めるものは、会館の成立の時において会館が承継する。</w:t>
      </w:r>
    </w:p>
    <w:p>
      <w:pPr>
        <w:pStyle w:val="Heading5"/>
        <w:ind w:left="440"/>
      </w:pPr>
      <w:r>
        <w:t>２</w:t>
      </w:r>
    </w:p>
    <w:p>
      <w:pPr>
        <w:ind w:left="440"/>
      </w:pPr>
      <w:r>
        <w:t>前項の規定により会館が国の有する権利及び義務を承継したときは、その承継の際、承継される権利に係る土地、建物その他の財産で政令で定めるものの価額の合計額に相当する金額は、政府から会館に対し出資されたものとする。</w:t>
      </w:r>
    </w:p>
    <w:p>
      <w:pPr>
        <w:pStyle w:val="Heading5"/>
        <w:ind w:left="440"/>
      </w:pPr>
      <w:r>
        <w:t>３</w:t>
      </w:r>
    </w:p>
    <w:p>
      <w:pPr>
        <w:ind w:left="440"/>
      </w:pPr>
      <w:r>
        <w:t>前項の規定により政府から出資があったものとされる同項の財産の価額は、会館の成立の日現在における時価を基準として評価委員が評価した価額とする。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会館の成立の時において現に建設中の建物等（建物及びその建物に附属する工作物をいう。次項において同じ。）で政令で定めるものを会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附則第二条から前条までに定めるもののほか、会館の設立に伴い必要な経過措置その他この法律の施行に関し必要な経過措置は、政令で定める。</w:t>
      </w:r>
    </w:p>
    <w:p>
      <w:r>
        <w:br w:type="page"/>
      </w:r>
    </w:p>
    <w:p>
      <w:pPr>
        <w:pStyle w:val="Heading1"/>
      </w:pPr>
      <w:r>
        <w:t>附則（平成一二年五月二六日法律第八四号）</w:t>
      </w:r>
    </w:p>
    <w:p>
      <w:pPr>
        <w:pStyle w:val="Heading4"/>
      </w:pPr>
      <w:r>
        <w:t>第一条（施行期日）</w:t>
      </w:r>
    </w:p>
    <w:p>
      <w:r>
        <w:t>この法律は、平成十二年六月一日から施行する。</w:t>
      </w:r>
    </w:p>
    <w:p>
      <w:r>
        <w:br w:type="page"/>
      </w:r>
    </w:p>
    <w:p>
      <w:pPr>
        <w:pStyle w:val="Heading1"/>
      </w:pPr>
      <w:r>
        <w:t>附則（平成一八年三月三一日法律第二四号）</w:t>
      </w:r>
    </w:p>
    <w:p>
      <w:pPr>
        <w:pStyle w:val="Heading4"/>
      </w:pPr>
      <w:r>
        <w:t>第一条（施行期日）</w:t>
      </w:r>
    </w:p>
    <w:p>
      <w:r>
        <w:t>この法律は、平成十八年四月一日から施行する。</w:t>
        <w:br/>
        <w:t>ただし、附則第十条第三項及び第四項並びに第十四条の規定は、公布の日から施行する。</w:t>
      </w:r>
    </w:p>
    <w:p>
      <w:pPr>
        <w:pStyle w:val="Heading4"/>
      </w:pPr>
      <w:r>
        <w:t>第二条（職員の引継ぎ等）</w:t>
      </w:r>
    </w:p>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br/>
        <w:t>ただし、その者が当該施行日後の研究所等を退職したことにより退職手当（これに相当する給付を含む。）の支給を受けているときは、この限りでない。</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br/>
        <w:t>この場合において、旧労働組合が法人であるときは、法人である労働組合となるものとする。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附則（平成一九年三月三〇日法律第七号）</w:t>
      </w:r>
    </w:p>
    <w:p>
      <w:pPr>
        <w:pStyle w:val="Heading4"/>
      </w:pPr>
      <w:r>
        <w:t>第一条（施行期日）</w:t>
      </w:r>
    </w:p>
    <w:p>
      <w:r>
        <w:t>この法律は、平成十九年四月一日から施行する。</w:t>
      </w:r>
    </w:p>
    <w:p>
      <w:r>
        <w:br w:type="page"/>
      </w:r>
    </w:p>
    <w:p>
      <w:pPr>
        <w:pStyle w:val="Heading1"/>
      </w:pPr>
      <w:r>
        <w:t>附則（平成二〇年一二月二六日法律第九五号）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附則（平成二一年三月三一日法律第一八号）</w:t>
      </w:r>
    </w:p>
    <w:p>
      <w:pPr>
        <w:pStyle w:val="Heading4"/>
      </w:pPr>
      <w:r>
        <w:t>第一条（施行期日）</w:t>
      </w:r>
    </w:p>
    <w:p>
      <w:r>
        <w:t>この法律は、平成二十一年四月一日から施行する。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br/>
        <w:br/>
        <w:br/>
        <w:t>平成二十一年十月一日</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附則（平成二七年七月八日法律第五一号）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独立行政法人国立女性教育会館法</w:t>
      <w:br/>
      <w:tab/>
      <w:t>（平成十一年法律第百六十八号）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独立行政法人国立女性教育会館法（平成十一年法律第百六十八号）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