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独立行政法人国立文化財機構法施行令</w:t>
        <w:br/>
        <w:t>（平成十八年政令第百六十三号）</w:t>
      </w:r>
    </w:p>
    <w:p>
      <w:r>
        <w:t>独立行政法人国立文化財機構法（平成十一年法律第百七十八号。以下「法」という。）第五条第五項の評価委員は、必要の都度、次に掲げる者につき文部科学大臣が任命する。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財務省の職員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文部科学省の職員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独立行政法人国立文化財機構の役員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学識経験のある者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法第五条第五項の規定による評価は、同項の評価委員の過半数の一致によるものとする。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法第五条第五項の規定による評価に関する庶務は、文化庁企画調整課において処理する。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則（平成一九年三月三〇日政令第一一〇号）</w:t>
      </w:r>
    </w:p>
    <w:p>
      <w:r>
        <w:t>この政令は、平成十九年四月一日から施行する。</w:t>
      </w:r>
    </w:p>
    <w:p>
      <w:r>
        <w:br w:type="page"/>
      </w:r>
    </w:p>
    <w:p>
      <w:pPr>
        <w:pStyle w:val="Heading1"/>
      </w:pPr>
      <w:r>
        <w:t>附　則（平成三〇年九月二七日政令第二六六号）</w:t>
      </w:r>
    </w:p>
    <w:p>
      <w:pPr>
        <w:pStyle w:val="Heading4"/>
      </w:pPr>
      <w:r>
        <w:t>第一条（施行期日）</w:t>
      </w:r>
    </w:p>
    <w:p>
      <w:r>
        <w:t>この政令は、平成三十年十月一日から施行する。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独立行政法人国立文化財機構法施行令</w:t>
      <w:br/>
      <w:tab/>
      <w:t>（平成十八年政令第百六十三号）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独立行政法人国立文化財機構法施行令（平成十八年政令第百六十三号）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