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独立行政法人国立特別支援教育総合研究所に関する省令</w:t>
        <w:br/>
        <w:t>（平成十三年文部科学省令第二十八号）</w:t>
      </w:r>
    </w:p>
    <w:p>
      <w:pPr>
        <w:pStyle w:val="Heading4"/>
      </w:pPr>
      <w:r>
        <w:t>第一条（通則法第八条第三項に規定する主務省令で定める重要な財産）</w:t>
      </w:r>
    </w:p>
    <w:p>
      <w:r>
        <w:t>独立行政法人国立特別支援教育総合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研究所に係る通則法第十九条第六項第二号に規定する主務省令で定める書類は、独立行政法人国立特別支援教育総合研究所法（平成十一年法律第百六十五号。以下「研究所法」という。）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Heading6"/>
        <w:ind w:left="880"/>
      </w:pPr>
      <w:r>
        <w:t>一</w:t>
      </w:r>
    </w:p>
    <w:p>
      <w:pPr>
        <w:ind w:left="880"/>
      </w:pPr>
      <w:r>
        <w:t>研究所法第十二条第一号に規定する研究に関する事項</w:t>
      </w:r>
    </w:p>
    <w:p>
      <w:pPr>
        <w:pStyle w:val="Heading6"/>
        <w:ind w:left="880"/>
      </w:pPr>
      <w:r>
        <w:t>二</w:t>
      </w:r>
    </w:p>
    <w:p>
      <w:pPr>
        <w:ind w:left="880"/>
      </w:pPr>
      <w:r>
        <w:t>研究所法第十二条第二号に規定する研修に関する事項</w:t>
      </w:r>
    </w:p>
    <w:p>
      <w:pPr>
        <w:pStyle w:val="Heading6"/>
        <w:ind w:left="880"/>
      </w:pPr>
      <w:r>
        <w:t>三</w:t>
      </w:r>
    </w:p>
    <w:p>
      <w:pPr>
        <w:ind w:left="880"/>
      </w:pPr>
      <w:r>
        <w:t>研究所法第十二条第三号に規定する研究の成果の普及及び研究の促進に関する事項</w:t>
      </w:r>
    </w:p>
    <w:p>
      <w:pPr>
        <w:pStyle w:val="Heading6"/>
        <w:ind w:left="880"/>
      </w:pPr>
      <w:r>
        <w:t>四</w:t>
      </w:r>
    </w:p>
    <w:p>
      <w:pPr>
        <w:ind w:left="880"/>
      </w:pPr>
      <w:r>
        <w:t>研究所法第十二条第四号に規定する資料及び情報の収集、整理、保存及び提供に関する事項</w:t>
      </w:r>
    </w:p>
    <w:p>
      <w:pPr>
        <w:pStyle w:val="Heading6"/>
        <w:ind w:left="880"/>
      </w:pPr>
      <w:r>
        <w:t>五</w:t>
      </w:r>
    </w:p>
    <w:p>
      <w:pPr>
        <w:ind w:left="880"/>
      </w:pPr>
      <w:r>
        <w:t>研究所法第十二条第五号に規定する相談並びに助言、指導及び援助に関する事項</w:t>
      </w:r>
    </w:p>
    <w:p>
      <w:pPr>
        <w:pStyle w:val="Heading6"/>
        <w:ind w:left="880"/>
      </w:pPr>
      <w:r>
        <w:t>六</w:t>
      </w:r>
    </w:p>
    <w:p>
      <w:pPr>
        <w:ind w:left="880"/>
      </w:pPr>
      <w:r>
        <w:t>業務委託の基準</w:t>
      </w:r>
    </w:p>
    <w:p>
      <w:pPr>
        <w:pStyle w:val="Heading6"/>
        <w:ind w:left="880"/>
      </w:pPr>
      <w:r>
        <w:t>七</w:t>
      </w:r>
    </w:p>
    <w:p>
      <w:pPr>
        <w:ind w:left="880"/>
      </w:pPr>
      <w:r>
        <w:t>競争入札その他契約に関する基本的事項</w:t>
      </w:r>
    </w:p>
    <w:p>
      <w:pPr>
        <w:pStyle w:val="Heading6"/>
        <w:ind w:left="880"/>
      </w:pPr>
      <w:r>
        <w:t>八</w:t>
      </w:r>
    </w:p>
    <w:p>
      <w:pPr>
        <w:ind w:left="880"/>
      </w:pPr>
      <w:r>
        <w:t>その他研究所の業務の執行に関して必要な事項</w:t>
      </w:r>
    </w:p>
    <w:p>
      <w:pPr>
        <w:pStyle w:val="Heading4"/>
      </w:pPr>
      <w:r>
        <w:t>第二条（中期計画の作成・変更に係る事項）</w:t>
      </w:r>
    </w:p>
    <w:p>
      <w:r>
        <w:t>研究所は、通則法第三十条第一項の規定により中期計画の認可を受けようとするときは、中期計画を記載した申請書を、当該中期計画の最初の事業年度開始三十日前までに（研究所の最初の事業年度の属する中期計画については、研究所の成立後遅滞なく）、文部科学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研究所に係る通則法第三十条第二項第八号に規定する主務省令で定める業務運営に関する事項は、次に掲げる事項とする。</w:t>
      </w:r>
    </w:p>
    <w:p>
      <w:pPr>
        <w:pStyle w:val="Heading6"/>
        <w:ind w:left="880"/>
      </w:pPr>
      <w:r>
        <w:t>一</w:t>
      </w:r>
    </w:p>
    <w:p>
      <w:pPr>
        <w:ind w:left="880"/>
      </w:pPr>
      <w:r>
        <w:t>筑波大学附属久里浜特別支援学校との協力に関する事項</w:t>
      </w:r>
    </w:p>
    <w:p>
      <w:pPr>
        <w:pStyle w:val="Heading6"/>
        <w:ind w:left="880"/>
      </w:pPr>
      <w:r>
        <w:t>二</w:t>
      </w:r>
    </w:p>
    <w:p>
      <w:pPr>
        <w:ind w:left="880"/>
      </w:pPr>
      <w:r>
        <w:t>施設及び設備に関する事項</w:t>
      </w:r>
    </w:p>
    <w:p>
      <w:pPr>
        <w:pStyle w:val="Heading6"/>
        <w:ind w:left="880"/>
      </w:pPr>
      <w:r>
        <w:t>三</w:t>
      </w:r>
    </w:p>
    <w:p>
      <w:pPr>
        <w:ind w:left="880"/>
      </w:pPr>
      <w:r>
        <w:t>人事に関する計画</w:t>
      </w:r>
    </w:p>
    <w:p>
      <w:pPr>
        <w:pStyle w:val="Heading6"/>
        <w:ind w:left="880"/>
      </w:pPr>
      <w:r>
        <w:t>四</w:t>
      </w:r>
    </w:p>
    <w:p>
      <w:pPr>
        <w:ind w:left="880"/>
      </w:pPr>
      <w:r>
        <w:t>中期計画期間を超える債務負担</w:t>
      </w:r>
    </w:p>
    <w:p>
      <w:pPr>
        <w:pStyle w:val="Heading6"/>
        <w:ind w:left="880"/>
      </w:pPr>
      <w:r>
        <w:t>五</w:t>
      </w:r>
    </w:p>
    <w:p>
      <w:pPr>
        <w:ind w:left="880"/>
      </w:pPr>
      <w:r>
        <w:t>積立金の使途</w:t>
      </w:r>
    </w:p>
    <w:p>
      <w:pPr>
        <w:pStyle w:val="Heading4"/>
      </w:pPr>
      <w:r>
        <w:t>第四条（年度計画の作成・変更に係る事項）</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研究所に係る通則法第三十二条第二項に規定する報告書には、当該報告書が次の表の上欄に掲げる報告書のいずれに該当するかに応じ、同表の下欄に掲げる事項を記載しなければならない。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研究所に係る通則法第三十八条第一項に規定する主務省令で定める書類は、行政コスト計算書、純資産変動計画書及びキャッシュ・フロー計算書とする。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第十四条の二（通則法第五十条の六第一号に規定する主務省令で定める内部組織）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研究所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表とする。</w:t>
      </w:r>
    </w:p>
    <w:p>
      <w:pPr>
        <w:pStyle w:val="Heading4"/>
      </w:pPr>
      <w:r>
        <w:t>第十六条（評価に関する庶務）</w:t>
      </w:r>
    </w:p>
    <w:p>
      <w:r>
        <w:t>研究所法附則第五条第三項に規定する評価に関する庶務は、文部科学省初等中等教育局において処理する。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研究所の成立の際研究所法附則第五条第二項の規定により研究所に出資されたものとされる財産のうち償却資産については、第九条第一項の指定があったものとみなす。</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独立行政法人国立特別支援教育総合研究所に関する省令</w:t>
      <w:br/>
      <w:tab/>
      <w:t>（平成十三年文部科学省令第二十八号）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独立行政法人国立特別支援教育総合研究所に関する省令（平成十三年文部科学省令第二十八号）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