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独立行政法人国立科学博物館法</w:t>
        <w:br/>
        <w:t>（平成十一年法律第百七十二号）</w:t>
      </w:r>
    </w:p>
    <w:p>
      <w:pPr>
        <w:pStyle w:val="Heading2"/>
      </w:pPr>
      <w:r>
        <w:t>第一章　総則</w:t>
      </w:r>
    </w:p>
    <w:p>
      <w:pPr>
        <w:pStyle w:val="Heading4"/>
      </w:pPr>
      <w:r>
        <w:t>第一条（目的）</w:t>
      </w:r>
    </w:p>
    <w:p>
      <w:r>
        <w:t>この法律は、独立行政法人国立科学博物館の名称、目的、業務の範囲等に関する事項を定めることを目的とする。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科学博物館とする。</w:t>
      </w:r>
    </w:p>
    <w:p>
      <w:pPr>
        <w:pStyle w:val="Heading4"/>
      </w:pPr>
      <w:r>
        <w:t>第三条（科学博物館の目的）</w:t>
      </w:r>
    </w:p>
    <w:p>
      <w:r>
        <w:t>独立行政法人国立科学博物館（以下「科学博物館」という。）は、博物館を設置して、自然史に関する科学その他の自然科学及びその応用に関する調査及び研究並びにこれらに関する資料の収集、保管（育成を含む。第十二条第三号において同じ。）及び公衆への供覧等を行うことにより、自然科学及び社会教育の振興を図ることを目的とする。</w:t>
      </w:r>
    </w:p>
    <w:p>
      <w:pPr>
        <w:pStyle w:val="Heading4"/>
      </w:pPr>
      <w:r>
        <w:t>第三条の二（中期目標管理法人）</w:t>
      </w:r>
    </w:p>
    <w:p>
      <w:r>
        <w:t>科学博物館は、通則法第二条第二項に規定する中期目標管理法人とする。</w:t>
      </w:r>
    </w:p>
    <w:p>
      <w:pPr>
        <w:pStyle w:val="Heading4"/>
      </w:pPr>
      <w:r>
        <w:t>第四条（事務所）</w:t>
      </w:r>
    </w:p>
    <w:p>
      <w:r>
        <w:t>科学博物館は、主たる事務所を東京都に置く。</w:t>
      </w:r>
    </w:p>
    <w:p>
      <w:pPr>
        <w:pStyle w:val="Heading4"/>
      </w:pPr>
      <w:r>
        <w:t>第五条（資本金）</w:t>
      </w:r>
    </w:p>
    <w:p>
      <w:r>
        <w:t>科学博物館の資本金は、附則第五条第二項の規定により政府から出資があったものとされた金額とする。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政府は、必要があると認めるときは、予算で定める金額の範囲内において、科学博物館に追加して出資することができる。</w:t>
      </w:r>
    </w:p>
    <w:p>
      <w:pPr>
        <w:pStyle w:val="Heading5"/>
        <w:ind w:left="440"/>
      </w:pPr>
      <w:r>
        <w:t>３</w:t>
      </w:r>
    </w:p>
    <w:p>
      <w:pPr>
        <w:ind w:left="440"/>
      </w:pPr>
      <w:r>
        <w:t>科学博物館は、前項又は附則第六条第一項の規定による政府の出資があったときは、その出資額により資本金を増加するものとする。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第六条（役員）</w:t>
      </w:r>
    </w:p>
    <w:p>
      <w:r>
        <w:t>科学博物館に、役員として、その長である館長及び監事二人を置く。</w:t>
      </w:r>
    </w:p>
    <w:p>
      <w:pPr>
        <w:pStyle w:val="Heading5"/>
        <w:ind w:left="440"/>
      </w:pPr>
      <w:r>
        <w:t>２</w:t>
      </w:r>
    </w:p>
    <w:p>
      <w:pPr>
        <w:ind w:left="440"/>
      </w:pPr>
      <w:r>
        <w:t>科学博物館に、役員として、理事一人を置くことができる。</w:t>
      </w:r>
    </w:p>
    <w:p>
      <w:pPr>
        <w:pStyle w:val="Heading4"/>
      </w:pPr>
      <w:r>
        <w:t>第七条（理事の職務及び権限等）</w:t>
      </w:r>
    </w:p>
    <w:p>
      <w:r>
        <w:t>理事は、館長の定めるところにより、館長を補佐して科学博物館の業務を掌理する。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前項ただし書の場合において、通則法第十九条第二項の規定により館長の職務を代理し又はその職務を行う監事は、その間、監事の職務を行ってはならない。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科学博物館の非常勤の理事及び監事の解任に関する通則法第二十三条第一項の規定の適用については、同項中「前条」とあるのは、「前条及び独立行政法人国立科学博物館法第九条第一項」とする。</w:t>
      </w:r>
    </w:p>
    <w:p>
      <w:pPr>
        <w:pStyle w:val="Heading4"/>
      </w:pPr>
      <w:r>
        <w:t>第十条（役員及び職員の秘密保持義務）</w:t>
      </w:r>
    </w:p>
    <w:p>
      <w:r>
        <w:t>科学博物館の役員及び職員は、職務上知ることのできた秘密を漏らしてはならない。</w:t>
        <w:br/>
        <w:t>その職を退いた後も、同様とする。</w:t>
      </w:r>
    </w:p>
    <w:p>
      <w:pPr>
        <w:pStyle w:val="Heading4"/>
      </w:pPr>
      <w:r>
        <w:t>第十一条（役員及び職員の地位）</w:t>
      </w:r>
    </w:p>
    <w:p>
      <w:r>
        <w:t>科学博物館の役員及び職員は、刑法（明治四十年法律第四十五号）その他の罰則の適用については、法令により公務に従事する職員とみなす。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科学博物館は、第三条の目的を達成するため、次の業務を行う。</w:t>
      </w:r>
    </w:p>
    <w:p>
      <w:pPr>
        <w:pStyle w:val="ListBullet"/>
        <w:ind w:left="880"/>
      </w:pPr>
      <w:r>
        <w:t>一</w:t>
        <w:br/>
        <w:t>博物館を設置すること。</w:t>
      </w:r>
    </w:p>
    <w:p>
      <w:pPr>
        <w:pStyle w:val="ListBullet"/>
        <w:ind w:left="880"/>
      </w:pPr>
      <w:r>
        <w:t>二</w:t>
        <w:br/>
        <w:t>自然史に関する科学その他の自然科学及びその応用に関する調査及び研究を行うこと。</w:t>
      </w:r>
    </w:p>
    <w:p>
      <w:pPr>
        <w:pStyle w:val="ListBullet"/>
        <w:ind w:left="880"/>
      </w:pPr>
      <w:r>
        <w:t>三</w:t>
        <w:br/>
        <w:t>自然史に関する科学その他の自然科学及びその応用に関する資料を収集し、保管して公衆の観覧に供するとともに、これらの業務に関連する調査及び研究（前号に掲げるものを除く。）を行うこと。</w:t>
      </w:r>
    </w:p>
    <w:p>
      <w:pPr>
        <w:pStyle w:val="ListBullet"/>
        <w:ind w:left="880"/>
      </w:pPr>
      <w:r>
        <w:t>四</w:t>
        <w:br/>
        <w:t>前号の業務に関連する講演会の開催、出版物の刊行その他の教育及び普及の事業を行うこと。</w:t>
      </w:r>
    </w:p>
    <w:p>
      <w:pPr>
        <w:pStyle w:val="ListBullet"/>
        <w:ind w:left="880"/>
      </w:pPr>
      <w:r>
        <w:t>五</w:t>
        <w:br/>
        <w:t>第一号の博物館を自然科学の振興を目的とする事業の利用に供すること。</w:t>
      </w:r>
    </w:p>
    <w:p>
      <w:pPr>
        <w:pStyle w:val="ListBullet"/>
        <w:ind w:left="880"/>
      </w:pPr>
      <w:r>
        <w:t>六</w:t>
        <w:br/>
        <w:t>第三号及び第四号の業務に関し、博物館その他これに類する施設の職員その他の関係者に対する研修を行うこと。</w:t>
      </w:r>
    </w:p>
    <w:p>
      <w:pPr>
        <w:pStyle w:val="ListBullet"/>
        <w:ind w:left="880"/>
      </w:pPr>
      <w:r>
        <w:t>七</w:t>
        <w:br/>
        <w:t>第三号及び第四号の業務に関し、博物館その他これに類する施設の求めに応じて援助及び助言を行うこと。</w:t>
      </w:r>
    </w:p>
    <w:p>
      <w:pPr>
        <w:pStyle w:val="ListBullet"/>
        <w:ind w:left="880"/>
      </w:pPr>
      <w:r>
        <w:t>八</w:t>
        <w:br/>
        <w:t>自然史に関する科学及びその応用に関する調査及び研究の指導、連絡及び促進を行うこと。</w:t>
      </w:r>
    </w:p>
    <w:p>
      <w:pPr>
        <w:pStyle w:val="ListBullet"/>
        <w:ind w:left="880"/>
      </w:pPr>
      <w:r>
        <w:t>九</w:t>
        <w:br/>
        <w:t>前各号の業務に附帯する業務を行うこと。</w:t>
      </w:r>
    </w:p>
    <w:p>
      <w:pPr>
        <w:pStyle w:val="Heading4"/>
      </w:pPr>
      <w:r>
        <w:t>第十二条の二（株式等の取得及び保有）</w:t>
      </w:r>
    </w:p>
    <w:p>
      <w:r>
        <w:t>科学博物館は、科学技術・イノベーション創出の活性化に関する法律（平成二十年法律第六十三号）第三十四条の五第一項及び第二項の規定による株式又は新株予約権の取得及び保有を行うことができる。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第十三条（積立金の処分）</w:t>
      </w:r>
    </w:p>
    <w:p>
      <w:r>
        <w:t>科学博物館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科学博物館は、第一項に規定する積立金の額に相当する金額から同項の規定による承認を受けた金額を控除してなお残余があるときは、その残余の額を国庫に納付しなければならない。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第十四条（主務大臣等）</w:t>
      </w:r>
    </w:p>
    <w:p>
      <w:r>
        <w:t>科学博物館に係る通則法における主務大臣及び主務省令は、それぞれ文部科学大臣及び文部科学省令とする。</w:t>
      </w:r>
    </w:p>
    <w:p>
      <w:pPr>
        <w:pStyle w:val="Heading2"/>
      </w:pPr>
      <w:r>
        <w:t>第五章　罰則</w:t>
      </w:r>
    </w:p>
    <w:p>
      <w:pPr>
        <w:pStyle w:val="Heading4"/>
      </w:pPr>
      <w:r>
        <w:t>第十五条</w:t>
      </w:r>
    </w:p>
    <w:p>
      <w:r>
        <w:t>第十条の規定に違反して秘密を漏らした者は、一年以下の懲役又は五十万円以下の罰金に処する。</w:t>
      </w:r>
    </w:p>
    <w:p>
      <w:pPr>
        <w:pStyle w:val="Heading4"/>
      </w:pPr>
      <w:r>
        <w:t>第十六条</w:t>
      </w:r>
    </w:p>
    <w:p>
      <w:r>
        <w:t>次の各号のいずれかに該当する場合には、その違反行為をした科学博物館の役員は、二十万円以下の過料に処する。</w:t>
      </w:r>
    </w:p>
    <w:p>
      <w:pPr>
        <w:pStyle w:val="ListBullet"/>
        <w:ind w:left="880"/>
      </w:pPr>
      <w:r>
        <w:t>一</w:t>
        <w:br/>
        <w:t>第十二条に規定する業務以外の業務を行ったとき。</w:t>
      </w:r>
    </w:p>
    <w:p>
      <w:pPr>
        <w:pStyle w:val="ListBullet"/>
        <w:ind w:left="880"/>
      </w:pPr>
      <w:r>
        <w:t>二</w:t>
        <w:br/>
        <w:t>第十三条第一項の規定により文部科学大臣の承認を受けなければならない場合において、その承認を受けなかったとき。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科学博物館の成立の際現に文部科学省の機関で政令で定めるものの職員である者は、別に辞令を発せられない限り、科学博物館の成立の日において、科学博物館の相当の職員となるものとする。</w:t>
      </w:r>
    </w:p>
    <w:p>
      <w:pPr>
        <w:pStyle w:val="Heading4"/>
      </w:pPr>
      <w:r>
        <w:t>第三条</w:t>
      </w:r>
    </w:p>
    <w:p>
      <w:r>
        <w:t>科学博物館の成立の際現に前条の政令で定める機関の職員である者のうち、科学博物館の成立の日において引き続き科学博物館の職員となったもの（次条において「引継職員」という。）であって、科学博物館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科学博物館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科学博物館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科学博物館の成立の日の前日の属する月の翌月から始める。</w:t>
      </w:r>
    </w:p>
    <w:p>
      <w:pPr>
        <w:pStyle w:val="Heading4"/>
      </w:pPr>
      <w:r>
        <w:t>第四条（科学博物館の職員となる者の職員団体についての経過措置）</w:t>
      </w:r>
    </w:p>
    <w:p>
      <w:r>
        <w:t>科学博物館の成立の際現に存する国家公務員法（昭和二十二年法律第百二十号）第百八条の二第一項に規定する職員団体であって、その構成員の過半数が引継職員であるものは、科学博物館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科学博物館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第一項の規定により労働組合となったものについては、科学博物館の成立の日から起算して六十日を経過する日までは、労働組合法第二条ただし書（第一号に係る部分に限る。）の規定は、適用しない。</w:t>
      </w:r>
    </w:p>
    <w:p>
      <w:pPr>
        <w:pStyle w:val="Heading4"/>
      </w:pPr>
      <w:r>
        <w:t>第五条（権利義務の承継等）</w:t>
      </w:r>
    </w:p>
    <w:p>
      <w:r>
        <w:t>科学博物館の成立の際、第十一条に規定する業務に関し、現に国が有する権利及び義務のうち政令で定めるものは、科学博物館の成立の時において科学博物館が承継する。</w:t>
      </w:r>
    </w:p>
    <w:p>
      <w:pPr>
        <w:pStyle w:val="Heading5"/>
        <w:ind w:left="440"/>
      </w:pPr>
      <w:r>
        <w:t>２</w:t>
      </w:r>
    </w:p>
    <w:p>
      <w:pPr>
        <w:ind w:left="440"/>
      </w:pPr>
      <w:r>
        <w:t>前項の規定により科学博物館が国の有する権利及び義務を承継したときは、その承継の際、承継される権利に係る土地、建物その他の財産で政令で定めるものの価額の合計額に相当する金額は、政府から科学博物館に対し出資されたものとする。</w:t>
      </w:r>
    </w:p>
    <w:p>
      <w:pPr>
        <w:pStyle w:val="Heading5"/>
        <w:ind w:left="440"/>
      </w:pPr>
      <w:r>
        <w:t>３</w:t>
      </w:r>
    </w:p>
    <w:p>
      <w:pPr>
        <w:ind w:left="440"/>
      </w:pPr>
      <w:r>
        <w:t>前項の規定により政府から出資があったものとされる同項の財産の価額は、科学博物館の成立の日現在における時価を基準として評価委員が評価した価額とする。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科学博物館の成立の時において現に建設中の建物等（建物及びその建物に附属する工作物をいう。次項において同じ。）で政令で定めるものを科学博物館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第七条（政令への委任）</w:t>
      </w:r>
    </w:p>
    <w:p>
      <w:r>
        <w:t>附則第二条から前条までに定めるもののほか、科学博物館の設立に伴い必要な経過措置その他この法律の施行に関し必要な経過措置は、政令で定める。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附則（平成一八年三月三一日法律第二四号）</w:t>
      </w:r>
    </w:p>
    <w:p>
      <w:pPr>
        <w:pStyle w:val="Heading4"/>
      </w:pPr>
      <w:r>
        <w:t>第一条（施行期日）</w:t>
      </w:r>
    </w:p>
    <w:p>
      <w:r>
        <w:t>この法律は、平成十八年四月一日から施行する。</w:t>
        <w:br/>
        <w:t>ただし、附則第十条第三項及び第四項並びに第十四条の規定は、公布の日から施行する。</w:t>
      </w:r>
    </w:p>
    <w:p>
      <w:pPr>
        <w:pStyle w:val="Heading4"/>
      </w:pPr>
      <w:r>
        <w:t>第二条（職員の引継ぎ等）</w:t>
      </w:r>
    </w:p>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br/>
        <w:t>ただし、その者が当該施行日後の研究所等を退職したことにより退職手当（これに相当する給付を含む。）の支給を受けているときは、この限りでない。</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br/>
        <w:t>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附則（平成一九年三月三〇日法律第七号）</w:t>
      </w:r>
    </w:p>
    <w:p>
      <w:pPr>
        <w:pStyle w:val="Heading4"/>
      </w:pPr>
      <w:r>
        <w:t>第一条（施行期日）</w:t>
      </w:r>
    </w:p>
    <w:p>
      <w:r>
        <w:t>この法律は、平成十九年四月一日から施行する。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附則（平成二一年三月三一日法律第一八号）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br/>
        <w:br/>
        <w:br/>
        <w:t>平成二十一年十月一日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附則（平成二七年七月八日法律第五一号）</w:t>
      </w:r>
    </w:p>
    <w:p>
      <w:pPr>
        <w:pStyle w:val="Heading4"/>
      </w:pPr>
      <w:r>
        <w:t>第一条（施行期日）</w:t>
      </w:r>
    </w:p>
    <w:p>
      <w:r>
        <w:t>この法律は、平成二十八年四月一日から施行する。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独立行政法人国立科学博物館法</w:t>
      <w:br/>
      <w:tab/>
      <w:t>（平成十一年法律第百七十二号）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独立行政法人国立科学博物館法（平成十一年法律第百七十二号）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