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独立行政法人国立美術館に関する省令</w:t>
        <w:br/>
        <w:t>（平成十三年文部科学省令第四十号）</w:t>
      </w:r>
    </w:p>
    <w:p>
      <w:pPr>
        <w:pStyle w:val="Heading4"/>
      </w:pPr>
      <w:r>
        <w:t>第一条（通則法第八条第三項に規定する主務省令で定める重要な財産）</w:t>
      </w:r>
    </w:p>
    <w:p>
      <w:r>
        <w:t>独立行政法人国立美術館（以下「国立美術館」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文部科学大臣が定める財産とする。</w:t>
      </w:r>
    </w:p>
    <w:p>
      <w:pPr>
        <w:pStyle w:val="Heading4"/>
      </w:pPr>
      <w:r>
        <w:t>第一条の二（監査報告の作成）</w:t>
      </w:r>
    </w:p>
    <w:p>
      <w:r>
        <w:t>国立美術館に係る通則法第十九条第四項の規定により主務省令で定める事項については、この条の定めるところによる。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国立美術館の役員及び職員</w:t>
      </w:r>
    </w:p>
    <w:p>
      <w:pPr>
        <w:pStyle w:val="Heading6"/>
        <w:ind w:left="880"/>
      </w:pPr>
      <w:r>
        <w:t>二</w:t>
      </w:r>
    </w:p>
    <w:p>
      <w:pPr>
        <w:ind w:left="880"/>
      </w:pPr>
      <w:r>
        <w:t>前号に掲げる者のほか、監事が適切に職務を遂行するに当たり意思疎通を図るべき者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監事は、その職務の遂行に当たり、必要に応じ、国立美術館の他の監事との意思疎通及び情報の交換を図るよう努めなければならない。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国立美術館の業務が、法令等に従って適正に実施されているかどうか及び中期目標の着実な達成に向け効果的かつ効率的に実施されているかどうかについての意見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国立美術館の役員の職務の執行が法令等に適合することを確保するための体制その他国立美術館の業務の適正を確保するための体制の整備及び運用についての意見</w:t>
      </w:r>
    </w:p>
    <w:p>
      <w:pPr>
        <w:pStyle w:val="Heading6"/>
        <w:ind w:left="880"/>
      </w:pPr>
      <w:r>
        <w:t>四</w:t>
      </w:r>
    </w:p>
    <w:p>
      <w:pPr>
        <w:ind w:left="880"/>
      </w:pPr>
      <w:r>
        <w:t>国立美術館の役員の職務の遂行に関し、不正の行為又は法令等に違反する重大な事実があったときは、その事実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第一条の三（監事の調査の対象となる書類）</w:t>
      </w:r>
    </w:p>
    <w:p>
      <w:r>
        <w:t>国立美術館に係る通則法第十九条第六項第二号に規定する主務省令で定める書類は、独立行政法人国立美術館法（平成十一年法律第百七十七号。以下「国立美術館法」という。）及びこの省令の規定に基づき文部科学大臣に提出する書類とする。</w:t>
      </w:r>
    </w:p>
    <w:p>
      <w:pPr>
        <w:pStyle w:val="Heading4"/>
      </w:pPr>
      <w:r>
        <w:t>第一条の四（業務方法書に記載すべき事項）</w:t>
      </w:r>
    </w:p>
    <w:p>
      <w:r>
        <w:t>国立美術館に係る通則法第二十八条第二項の主務省令で定める業務方法書に記載すべき事項は、次のとおりとする。</w:t>
      </w:r>
    </w:p>
    <w:p>
      <w:pPr>
        <w:pStyle w:val="Heading6"/>
        <w:ind w:left="880"/>
      </w:pPr>
      <w:r>
        <w:t>一</w:t>
      </w:r>
    </w:p>
    <w:p>
      <w:pPr>
        <w:ind w:left="880"/>
      </w:pPr>
      <w:r>
        <w:t>国立美術館法第十一条第一号の規定に基づく東京国立近代美術館、京都国立近代美術館、国立映画アーカイブ、国立西洋美術館、国立国際美術館及び国立新美術館の設置に関する事項</w:t>
      </w:r>
    </w:p>
    <w:p>
      <w:pPr>
        <w:pStyle w:val="Heading6"/>
        <w:ind w:left="880"/>
      </w:pPr>
      <w:r>
        <w:t>二</w:t>
      </w:r>
    </w:p>
    <w:p>
      <w:pPr>
        <w:ind w:left="880"/>
      </w:pPr>
      <w:r>
        <w:t>国立美術館法第十一条第二号に規定する美術に関する作品その他の資料の収集、保管及び供覧に関する事項</w:t>
      </w:r>
    </w:p>
    <w:p>
      <w:pPr>
        <w:pStyle w:val="Heading6"/>
        <w:ind w:left="880"/>
      </w:pPr>
      <w:r>
        <w:t>三</w:t>
      </w:r>
    </w:p>
    <w:p>
      <w:pPr>
        <w:ind w:left="880"/>
      </w:pPr>
      <w:r>
        <w:t>国立美術館法第十一条第三号に規定する調査及び研究に関する事項</w:t>
      </w:r>
    </w:p>
    <w:p>
      <w:pPr>
        <w:pStyle w:val="Heading6"/>
        <w:ind w:left="880"/>
      </w:pPr>
      <w:r>
        <w:t>四</w:t>
      </w:r>
    </w:p>
    <w:p>
      <w:pPr>
        <w:ind w:left="880"/>
      </w:pPr>
      <w:r>
        <w:t>国立美術館法第十一条第四号に規定する情報及び資料の収集、整理及び提供に関する事項</w:t>
      </w:r>
    </w:p>
    <w:p>
      <w:pPr>
        <w:pStyle w:val="Heading6"/>
        <w:ind w:left="880"/>
      </w:pPr>
      <w:r>
        <w:t>五</w:t>
      </w:r>
    </w:p>
    <w:p>
      <w:pPr>
        <w:ind w:left="880"/>
      </w:pPr>
      <w:r>
        <w:t>国立美術館法第十一条第五号に規定する教育及び普及の事業に関する事項</w:t>
      </w:r>
    </w:p>
    <w:p>
      <w:pPr>
        <w:pStyle w:val="Heading6"/>
        <w:ind w:left="880"/>
      </w:pPr>
      <w:r>
        <w:t>六</w:t>
      </w:r>
    </w:p>
    <w:p>
      <w:pPr>
        <w:ind w:left="880"/>
      </w:pPr>
      <w:r>
        <w:t>国立美術館法第十一条第六号に規定する美術館の供用に関する事項</w:t>
      </w:r>
    </w:p>
    <w:p>
      <w:pPr>
        <w:pStyle w:val="Heading6"/>
        <w:ind w:left="880"/>
      </w:pPr>
      <w:r>
        <w:t>七</w:t>
      </w:r>
    </w:p>
    <w:p>
      <w:pPr>
        <w:ind w:left="880"/>
      </w:pPr>
      <w:r>
        <w:t>国立美術館法第十一条第七号に規定する研修に関する事項</w:t>
      </w:r>
    </w:p>
    <w:p>
      <w:pPr>
        <w:pStyle w:val="Heading6"/>
        <w:ind w:left="880"/>
      </w:pPr>
      <w:r>
        <w:t>八</w:t>
      </w:r>
    </w:p>
    <w:p>
      <w:pPr>
        <w:ind w:left="880"/>
      </w:pPr>
      <w:r>
        <w:t>国立美術館法第十一条第八号に規定する援助及び助言に関する事項</w:t>
      </w:r>
    </w:p>
    <w:p>
      <w:pPr>
        <w:pStyle w:val="Heading6"/>
        <w:ind w:left="880"/>
      </w:pPr>
      <w:r>
        <w:t>九</w:t>
      </w:r>
    </w:p>
    <w:p>
      <w:pPr>
        <w:ind w:left="880"/>
      </w:pPr>
      <w:r>
        <w:t>国立美術館法第十一条第九号に規定する附帯業務に関する事項</w:t>
      </w:r>
    </w:p>
    <w:p>
      <w:pPr>
        <w:pStyle w:val="Heading6"/>
        <w:ind w:left="880"/>
      </w:pPr>
      <w:r>
        <w:t>十</w:t>
      </w:r>
    </w:p>
    <w:p>
      <w:pPr>
        <w:ind w:left="880"/>
      </w:pPr>
      <w:r>
        <w:t>業務委託の基準</w:t>
      </w:r>
    </w:p>
    <w:p>
      <w:pPr>
        <w:pStyle w:val="Heading6"/>
        <w:ind w:left="880"/>
      </w:pPr>
      <w:r>
        <w:t>十一</w:t>
      </w:r>
    </w:p>
    <w:p>
      <w:pPr>
        <w:ind w:left="880"/>
      </w:pPr>
      <w:r>
        <w:t>競争入札その他契約に関する基本的事項</w:t>
      </w:r>
    </w:p>
    <w:p>
      <w:pPr>
        <w:pStyle w:val="Heading6"/>
        <w:ind w:left="880"/>
      </w:pPr>
      <w:r>
        <w:t>十二</w:t>
      </w:r>
    </w:p>
    <w:p>
      <w:pPr>
        <w:ind w:left="880"/>
      </w:pPr>
      <w:r>
        <w:t>その他国立美術館の業務の執行に関して必要な事項</w:t>
      </w:r>
    </w:p>
    <w:p>
      <w:pPr>
        <w:pStyle w:val="Heading4"/>
      </w:pPr>
      <w:r>
        <w:t>第二条（中期計画の作成・変更に係る事項）</w:t>
      </w:r>
    </w:p>
    <w:p>
      <w:r>
        <w:t>国立美術館は、通則法第三十条第一項の規定により中期計画の認可を受けようとするときは、中期計画を記載した申請書を、当該中期計画の最初の事業年度開始三十日前までに（国立美術館の最初の事業年度の属する中期計画については、国立美術館の成立後遅滞なく）、文部科学大臣に提出しなければならない。</w:t>
      </w:r>
    </w:p>
    <w:p>
      <w:pPr>
        <w:pStyle w:val="Heading5"/>
        <w:ind w:left="440"/>
      </w:pPr>
      <w:r>
        <w:t>２</w:t>
      </w:r>
    </w:p>
    <w:p>
      <w:pPr>
        <w:ind w:left="440"/>
      </w:pPr>
      <w:r>
        <w:t>国立美術館は、通則法第三十条第一項後段の規定により中期計画の変更の認可を受けようとするときは、変更しようとする事項及びその理由を記載した申請書を文部科学大臣に提出しなければならない。</w:t>
      </w:r>
    </w:p>
    <w:p>
      <w:pPr>
        <w:pStyle w:val="Heading4"/>
      </w:pPr>
      <w:r>
        <w:t>第三条（中期計画記載事項）</w:t>
      </w:r>
    </w:p>
    <w:p>
      <w:r>
        <w:t>国立美術館に係る通則法第三十条第二項第八号に規定する主務省令で定める業務運営に関する事項は、次に掲げる事項とする。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w:t>
      </w:r>
    </w:p>
    <w:p>
      <w:pPr>
        <w:pStyle w:val="Heading6"/>
        <w:ind w:left="880"/>
      </w:pPr>
      <w:r>
        <w:t>三</w:t>
      </w:r>
    </w:p>
    <w:p>
      <w:pPr>
        <w:ind w:left="880"/>
      </w:pPr>
      <w:r>
        <w:t>中期目標期間を超える債務負担</w:t>
      </w:r>
    </w:p>
    <w:p>
      <w:pPr>
        <w:pStyle w:val="Heading6"/>
        <w:ind w:left="880"/>
      </w:pPr>
      <w:r>
        <w:t>四</w:t>
      </w:r>
    </w:p>
    <w:p>
      <w:pPr>
        <w:ind w:left="880"/>
      </w:pPr>
      <w:r>
        <w:t>積立金の使途</w:t>
      </w:r>
    </w:p>
    <w:p>
      <w:pPr>
        <w:pStyle w:val="Heading4"/>
      </w:pPr>
      <w:r>
        <w:t>第四条（年度計画の作成・変更に係る事項）</w:t>
      </w:r>
    </w:p>
    <w:p>
      <w:r>
        <w:t>国立美術館に係る通則法第三十一条第一項の年度計画には、中期計画に定めた事項に関し、当該事業年度において実施すべき事項を記載しなければならない。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国立美術館は、通則法第三十一条第一項後段の規定により年度計画の変更をしたときは、変更した事項及びその理由を記載した届出書を文部科学大臣に提出しなければならない。</w:t>
      </w:r>
    </w:p>
    <w:p>
      <w:pPr>
        <w:pStyle w:val="Heading4"/>
      </w:pPr>
      <w:r>
        <w:t>第五条（業務実績等報告書）</w:t>
      </w:r>
    </w:p>
    <w:p>
      <w:r>
        <w:t>国立美術館に係る通則法第三十二条第二項に規定する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国立美術館は、前項に規定する報告書を文部科学大臣に提出したときは、速やかに、当該報告書をインターネットの利用その他の適切な方法により公表するものとする。</w:t>
      </w:r>
    </w:p>
    <w:p>
      <w:pPr>
        <w:pStyle w:val="Heading4"/>
      </w:pPr>
      <w:r>
        <w:t>第六条</w:t>
      </w:r>
    </w:p>
    <w:p>
      <w:r>
        <w:t>削除</w:t>
      </w:r>
    </w:p>
    <w:p>
      <w:pPr>
        <w:pStyle w:val="Heading4"/>
      </w:pPr>
      <w:r>
        <w:t>第七条</w:t>
      </w:r>
    </w:p>
    <w:p>
      <w:r>
        <w:t>削除</w:t>
      </w:r>
    </w:p>
    <w:p>
      <w:pPr>
        <w:pStyle w:val="Heading4"/>
      </w:pPr>
      <w:r>
        <w:t>第八条（会計の原則）</w:t>
      </w:r>
    </w:p>
    <w:p>
      <w:r>
        <w:t>国立美術館の会計については、この省令の定めるところにより、この省令に定めのないものについては、一般に公正妥当と認められる企業会計の基準に従うものとする。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一条の二第三項第二号イ及びロにおいて「独立行政法人会計基準」という。）は、この省令に準ずるものとして、第一項に規定する一般に公正妥当と認められる企業会計の基準に優先して適用されるものとする。</w:t>
      </w:r>
    </w:p>
    <w:p>
      <w:pPr>
        <w:pStyle w:val="Heading4"/>
      </w:pPr>
      <w:r>
        <w:t>第九条（会計処理）</w:t>
      </w:r>
    </w:p>
    <w:p>
      <w:r>
        <w:t>文部科学大臣は、国立美術館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第九条の二（対応する収益の獲得が予定されない資産除去債務に係る除去費用等）</w:t>
      </w:r>
    </w:p>
    <w:p>
      <w:r>
        <w:t>文部科学大臣は、国立美術館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第九条の三（譲渡差額を損益計算上の損益に計上しない譲渡取引）</w:t>
      </w:r>
    </w:p>
    <w:p>
      <w:r>
        <w:t>文部科学大臣は、国立美術館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第十条（財務諸表）</w:t>
      </w:r>
    </w:p>
    <w:p>
      <w:r>
        <w:t>国立美術館に係る通則法第三十八条第一項に規定する主務省令で定める書類は、キャッシュ・フロー計算書及び行政サービス実施コスト計算書とする。</w:t>
      </w:r>
    </w:p>
    <w:p>
      <w:pPr>
        <w:pStyle w:val="Heading4"/>
      </w:pPr>
      <w:r>
        <w:t>第十条の二（事業報告書の作成）</w:t>
      </w:r>
    </w:p>
    <w:p>
      <w:r>
        <w:t>国立美術館に係る通則法第三十八条第二項の規定により主務省令で定める事項については、この条の定めるところによる。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国立美術館に関する基礎的な情報</w:t>
      </w:r>
    </w:p>
    <w:p>
      <w:pPr>
        <w:pStyle w:val="Heading6"/>
        <w:ind w:left="880"/>
      </w:pPr>
      <w:r>
        <w:t>二</w:t>
      </w:r>
    </w:p>
    <w:p>
      <w:pPr>
        <w:ind w:left="880"/>
      </w:pPr>
      <w:r>
        <w:t>財務諸表の要約</w:t>
      </w:r>
    </w:p>
    <w:p>
      <w:pPr>
        <w:pStyle w:val="Heading6"/>
        <w:ind w:left="880"/>
      </w:pPr>
      <w:r>
        <w:t>三</w:t>
      </w:r>
    </w:p>
    <w:p>
      <w:pPr>
        <w:ind w:left="880"/>
      </w:pPr>
      <w:r>
        <w:t>財務情報</w:t>
      </w:r>
    </w:p>
    <w:p>
      <w:pPr>
        <w:pStyle w:val="Heading6"/>
        <w:ind w:left="880"/>
      </w:pPr>
      <w:r>
        <w:t>四</w:t>
      </w:r>
    </w:p>
    <w:p>
      <w:pPr>
        <w:ind w:left="880"/>
      </w:pPr>
      <w:r>
        <w:t>事業に関する説明</w:t>
      </w:r>
    </w:p>
    <w:p>
      <w:pPr>
        <w:pStyle w:val="Heading5"/>
        <w:ind w:left="440"/>
      </w:pPr>
      <w:r>
        <w:t>３</w:t>
      </w:r>
    </w:p>
    <w:p>
      <w:pPr>
        <w:ind w:left="440"/>
      </w:pPr>
      <w:r>
        <w:t>事業報告書には、通則法第三十一条第一項に規定する年度計画に記載されたセグメント（国立美術館を構成する一定の単位をいう。）ごとの予算に関する見積りと当該予算の執行実績を明らかにした資料を添付するものとする。</w:t>
      </w:r>
    </w:p>
    <w:p>
      <w:pPr>
        <w:pStyle w:val="Heading4"/>
      </w:pPr>
      <w:r>
        <w:t>第十一条（財務諸表の閲覧期間）</w:t>
      </w:r>
    </w:p>
    <w:p>
      <w:r>
        <w:t>国立美術館に係る通則法第三十八条第三項に規定する主務省令で定める期間は、五年とする。</w:t>
      </w:r>
    </w:p>
    <w:p>
      <w:pPr>
        <w:pStyle w:val="Heading4"/>
      </w:pPr>
      <w:r>
        <w:t>第十一条の二（会計監査報告の作成）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国立美術館の役員（監事を除く。）及び職員</w:t>
      </w:r>
    </w:p>
    <w:p>
      <w:pPr>
        <w:pStyle w:val="Heading6"/>
        <w:ind w:left="880"/>
      </w:pPr>
      <w:r>
        <w:t>二</w:t>
      </w:r>
    </w:p>
    <w:p>
      <w:pPr>
        <w:ind w:left="880"/>
      </w:pPr>
      <w:r>
        <w:t>前号に掲げる者のほか、会計監査人が適切に職務を遂行するに当たり意思疎通を図るべき者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国立美術館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前項第四号に規定する「追記情報」とは、次に掲げる事項その他の事項のうち、会計監査人の判断に関して説明を付する必要がある事項又は財務諸表の内容のうち強調する必要がある事項とする。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第十二条（短期借入金の認可の申請）</w:t>
      </w:r>
    </w:p>
    <w:p>
      <w:r>
        <w:t>国立美術館は、通則法第四十五条第一項ただし書の規定により短期借入金の借入れの認可を受けようとするとき、又は同条第二項ただし書の規定により短期借入金の借換えの認可を受けようとするときは、次の事項を記載した申請書を文部科学大臣に提出しなければならない。</w:t>
      </w:r>
    </w:p>
    <w:p>
      <w:pPr>
        <w:pStyle w:val="Heading6"/>
        <w:ind w:left="880"/>
      </w:pPr>
      <w:r>
        <w:t>一</w:t>
      </w:r>
    </w:p>
    <w:p>
      <w:pPr>
        <w:ind w:left="880"/>
      </w:pPr>
      <w:r>
        <w:t>借入れ又は借換えを必要とする理由</w:t>
      </w:r>
    </w:p>
    <w:p>
      <w:pPr>
        <w:pStyle w:val="Heading6"/>
        <w:ind w:left="880"/>
      </w:pPr>
      <w:r>
        <w:t>二</w:t>
      </w:r>
    </w:p>
    <w:p>
      <w:pPr>
        <w:ind w:left="880"/>
      </w:pPr>
      <w:r>
        <w:t>借入れ又は借換えの額</w:t>
      </w:r>
    </w:p>
    <w:p>
      <w:pPr>
        <w:pStyle w:val="Heading6"/>
        <w:ind w:left="880"/>
      </w:pPr>
      <w:r>
        <w:t>三</w:t>
      </w:r>
    </w:p>
    <w:p>
      <w:pPr>
        <w:ind w:left="880"/>
      </w:pPr>
      <w:r>
        <w:t>借入先又は借換先</w:t>
      </w:r>
    </w:p>
    <w:p>
      <w:pPr>
        <w:pStyle w:val="Heading6"/>
        <w:ind w:left="880"/>
      </w:pPr>
      <w:r>
        <w:t>四</w:t>
      </w:r>
    </w:p>
    <w:p>
      <w:pPr>
        <w:ind w:left="880"/>
      </w:pPr>
      <w:r>
        <w:t>借入れ又は借換えの利率</w:t>
      </w:r>
    </w:p>
    <w:p>
      <w:pPr>
        <w:pStyle w:val="Heading6"/>
        <w:ind w:left="880"/>
      </w:pPr>
      <w:r>
        <w:t>五</w:t>
      </w:r>
    </w:p>
    <w:p>
      <w:pPr>
        <w:ind w:left="880"/>
      </w:pPr>
      <w:r>
        <w:t>償還の方法及び期限</w:t>
      </w:r>
    </w:p>
    <w:p>
      <w:pPr>
        <w:pStyle w:val="Heading6"/>
        <w:ind w:left="880"/>
      </w:pPr>
      <w:r>
        <w:t>六</w:t>
      </w:r>
    </w:p>
    <w:p>
      <w:pPr>
        <w:ind w:left="880"/>
      </w:pPr>
      <w:r>
        <w:t>利息の支払いの方法及び期限</w:t>
      </w:r>
    </w:p>
    <w:p>
      <w:pPr>
        <w:pStyle w:val="Heading6"/>
        <w:ind w:left="880"/>
      </w:pPr>
      <w:r>
        <w:t>七</w:t>
      </w:r>
    </w:p>
    <w:p>
      <w:pPr>
        <w:ind w:left="880"/>
      </w:pPr>
      <w:r>
        <w:t>その他必要な事項</w:t>
      </w:r>
    </w:p>
    <w:p>
      <w:pPr>
        <w:pStyle w:val="Heading4"/>
      </w:pPr>
      <w:r>
        <w:t>第十三条（通則法第四十八条に規定する主務省令で定める重要な財産）</w:t>
      </w:r>
    </w:p>
    <w:p>
      <w:r>
        <w:t>国立美術館に係る通則法第四十八条に規定する主務省令で定める重要な財産は、土地及び建物並びに文部科学大臣が指定するその他の財産とする。</w:t>
      </w:r>
    </w:p>
    <w:p>
      <w:pPr>
        <w:pStyle w:val="Heading4"/>
      </w:pPr>
      <w:r>
        <w:t>第十四条（通則法第四十八条に規定する主務省令で定める重要な財産の処分等の認可の申請）</w:t>
      </w:r>
    </w:p>
    <w:p>
      <w:r>
        <w:t>国立美術館は、通則法第四十八条の規定により重要な財産を譲渡し、又は担保に供すること（以下この条において「処分等」という。）について認可を受けようとするときは、次に掲げる事項を記載した申請書を文部科学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国立美術館の業務運営上支障がない旨及びその理由</w:t>
      </w:r>
    </w:p>
    <w:p>
      <w:pPr>
        <w:pStyle w:val="Heading5"/>
        <w:ind w:left="440"/>
      </w:pPr>
      <w:r>
        <w:t>２</w:t>
      </w:r>
    </w:p>
    <w:p>
      <w:pPr>
        <w:ind w:left="440"/>
      </w:pPr>
      <w:r>
        <w:t>美術に関する作品（前条に規定する重要な財産であるものに限る。）の処分等について認可を受けようとするときは、前項に掲げる事項のほか、次に掲げる事項を申請書に記載しなければならない。</w:t>
      </w:r>
    </w:p>
    <w:p>
      <w:pPr>
        <w:pStyle w:val="Heading6"/>
        <w:ind w:left="880"/>
      </w:pPr>
      <w:r>
        <w:t>一</w:t>
      </w:r>
    </w:p>
    <w:p>
      <w:pPr>
        <w:ind w:left="880"/>
      </w:pPr>
      <w:r>
        <w:t>処分等の相手方の氏名又は名称及び住所</w:t>
      </w:r>
    </w:p>
    <w:p>
      <w:pPr>
        <w:pStyle w:val="Heading6"/>
        <w:ind w:left="880"/>
      </w:pPr>
      <w:r>
        <w:t>二</w:t>
      </w:r>
    </w:p>
    <w:p>
      <w:pPr>
        <w:ind w:left="880"/>
      </w:pPr>
      <w:r>
        <w:t>処分等が当該美術に関する作品の保存及び活用に資することとなる旨及びその理由</w:t>
      </w:r>
    </w:p>
    <w:p>
      <w:pPr>
        <w:pStyle w:val="Heading4"/>
      </w:pPr>
      <w:r>
        <w:t>第十四条の二（通則法第五十条の六第一号に規定する主務省令で定める内部組織）</w:t>
      </w:r>
    </w:p>
    <w:p>
      <w:r>
        <w:t>国立美術館に係る通則法第五十条の六第一号に規定する離職前五年間に在職していた当該中期目標管理法人の内部組織として主務省令で定めるものは、現に存する理事長の直近下位の内部組織として文部科学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文部科学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第十四条の三（通則法第五十条の六第二号に規定する主務省令で定める管理又は監督の地位）</w:t>
      </w:r>
    </w:p>
    <w:p>
      <w:r>
        <w:t>国立美術館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文部科学大臣が定めるものとする。</w:t>
      </w:r>
    </w:p>
    <w:p>
      <w:pPr>
        <w:pStyle w:val="Heading4"/>
      </w:pPr>
      <w:r>
        <w:t>第十五条（積立金の処分に係る申請書の添付書類）</w:t>
      </w:r>
    </w:p>
    <w:p>
      <w:r>
        <w:t>国立美術館に係る独立行政法人の組織、運営及び管理に係る共通的な事項に関する政令第二十一条第二項に規定する文部科学省令で定める書類は、同条第一項に規定する中期目標の期間の最後の事業年度の事業年度末の貸借対照表及び当該年度の損益計算書とする。</w:t>
      </w:r>
    </w:p>
    <w:p>
      <w:pPr>
        <w:pStyle w:val="Heading4"/>
      </w:pPr>
      <w:r>
        <w:t>第十六条（評価に関する庶務）</w:t>
      </w:r>
    </w:p>
    <w:p>
      <w:r>
        <w:t>国立美術館法附則第五条第三項及び第六条第二項に規定する評価に関する庶務は、文化庁企画調整課において処理する。</w:t>
      </w:r>
    </w:p>
    <w:p>
      <w:r>
        <w:br w:type="page"/>
      </w:r>
    </w:p>
    <w:p>
      <w:pPr>
        <w:pStyle w:val="Heading1"/>
      </w:pPr>
      <w:r>
        <w:t>附　則</w:t>
      </w:r>
    </w:p>
    <w:p>
      <w:pPr>
        <w:pStyle w:val="Heading4"/>
      </w:pPr>
      <w:r>
        <w:t>第一条（施行期日）</w:t>
      </w:r>
    </w:p>
    <w:p>
      <w:r>
        <w:t>この省令は、平成十三年四月一日から施行する。</w:t>
      </w:r>
    </w:p>
    <w:p>
      <w:pPr>
        <w:pStyle w:val="Heading4"/>
      </w:pPr>
      <w:r>
        <w:t>第二条（成立の際の会計処理の特例）</w:t>
      </w:r>
    </w:p>
    <w:p>
      <w:r>
        <w:t>国立美術館の成立の際国立美術館法第五条第二項の規定により国立美術館に出資されたものとされる財産のうち償却資産については、第九条第一項の指定があったものとみなす。</w:t>
      </w:r>
    </w:p>
    <w:p>
      <w:r>
        <w:br w:type="page"/>
      </w:r>
    </w:p>
    <w:p>
      <w:pPr>
        <w:pStyle w:val="Heading1"/>
      </w:pPr>
      <w:r>
        <w:t>附　則（平成一四年四月一日文部科学省令第二四号）</w:t>
      </w:r>
    </w:p>
    <w:p>
      <w:r>
        <w:t>この省令は、公布の日から施行する。</w:t>
      </w:r>
    </w:p>
    <w:p>
      <w:r>
        <w:br w:type="page"/>
      </w:r>
    </w:p>
    <w:p>
      <w:pPr>
        <w:pStyle w:val="Heading1"/>
      </w:pPr>
      <w:r>
        <w:t>附　則（平成一八年六月三〇日文部科学省令第三〇号）</w:t>
      </w:r>
    </w:p>
    <w:p>
      <w:r>
        <w:t>この省令は、平成十八年七月一日から施行する。</w:t>
      </w:r>
    </w:p>
    <w:p>
      <w:r>
        <w:br w:type="page"/>
      </w:r>
    </w:p>
    <w:p>
      <w:pPr>
        <w:pStyle w:val="Heading1"/>
      </w:pPr>
      <w:r>
        <w:t>附　則（平成一九年三月三一日文部科学省令第一四号）</w:t>
      </w:r>
    </w:p>
    <w:p>
      <w:r>
        <w:t>この省令は、公布の日から施行し、平成十九年四月一日から適用する。</w:t>
      </w:r>
    </w:p>
    <w:p>
      <w:r>
        <w:br w:type="page"/>
      </w:r>
    </w:p>
    <w:p>
      <w:pPr>
        <w:pStyle w:val="Heading1"/>
      </w:pPr>
      <w:r>
        <w:t>附　則（平成二二年一一月二六日文部科学省令第二一号）</w:t>
      </w:r>
    </w:p>
    <w:p>
      <w:r>
        <w:t>この省令は、独立行政法人通則法の一部を改正する法律の施行の日（平成二十二年十一月二十七日）から施行する。</w:t>
      </w:r>
    </w:p>
    <w:p>
      <w:r>
        <w:br w:type="page"/>
      </w:r>
    </w:p>
    <w:p>
      <w:pPr>
        <w:pStyle w:val="Heading1"/>
      </w:pPr>
      <w:r>
        <w:t>附　則（平成二七年三月三〇日文部科学省令第一二号）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第二条（業務実績等報告書の作成に係る経過措置）</w:t>
      </w:r>
    </w:p>
    <w:p>
      <w:r>
        <w:t>独立行政法人通則法の一部を改正する法律の施行に伴う関係法律の整備に関する法律（以下この条において「独法整備法」という。）附則第十六条第三項の規定により独法整備法による改正前の日本私立学校振興・共済事業団法（平成九年法律第四十八号）第二十六条において準用する通則法改正法による改正前の独立行政法人通則法（平成十一年法律第百三号。以下この条において「旧通則法」という。）第二十九条第一項の中期目標が独法整備法による改正後の日本私立学校振興・共済事業団法第二十六条において準用する通則法改正法による改正後の独立行政法人通則法（以下この条において「新通則法」という。）第二十九条第一項の規定により指示した同項の中期目標とみなされる場合におけるこの省令による改正後の日本私立学校振興・共済事業団法施行規則第二十条第一項の規定の適用については、同項の表事業年度における業務の実績及び当該実績について自ら評価を行った結果を明らかにした報告書の項中「法第二十六条において準用する通則法第二十九条第二項第二号に」とあるのは「独立行政法人通則法の一部を改正する法律の施行に伴う関係法律の整備に関する法律（平成二十六年法律第六十七号）による改正前の法（以下この表において「旧法」という。）第二十六条において準用する独立行政法人通則法の一部を改正する法律（平成二十六年法律第六十六号）による改正前の通則法（以下この表において「旧通則法」という。）第二十九条第二項第三号に」と、「同項第三号から第五号まで」とあるのは「同項第二号、第四号及び第五号」と、「法第二十六条において準用する通則法第二十九条第二項第二号から」とあるのは「旧法第二十六条において準用する旧通則法第二十九条第二項第二号から」とし、同表中期目標の期間の終了時に見込まれる中期目標の期間における業務の実績及び当該実績について自ら評価を行った結果を明らかにする報告書の項及び中期目標の期間における業務の実績及び当該実績について自ら評価を行った結果を明らかにする報告書の項中「法第二十六条」とあるのは「旧法第二十六条」と、「通則法第二十九条第二項第二号に」とあるのは「旧通則法第二十九条第二項第三号に」と、「同項第三号から第五号まで」とあるのは「同項第二号、第四号及び第五号」と、「通則法第二十九条第二項第二号から」とあるのは「旧通則法第二十九条第二項第二号から」とする。</w:t>
      </w:r>
    </w:p>
    <w:p>
      <w:pPr>
        <w:pStyle w:val="Heading5"/>
        <w:ind w:left="440"/>
      </w:pPr>
      <w:r>
        <w:t>２</w:t>
      </w:r>
    </w:p>
    <w:p>
      <w:pPr>
        <w:ind w:left="440"/>
      </w:pPr>
      <w:r>
        <w:t>通則法改正法附則第八条第一項の規定により旧通則法第二十九条第一項の中期目標が新通則法第二十九条第一項の規定により指示した同項の中期目標とみなされる場合におけるこの省令による改正後の次に掲げる省令の規定及び独立行政法人大学改革支援・学位授与機構に関する省令（平成十五年文部科学省令第五十九号）第五条第一項の規定の適用については、これらの省令の規定中「当該事業年度における業務の実績。なお、当該業務の実績は、当該項目が通則法第二十九条第二項第二号」とあるのは「当該事業年度における業務の実績。なお、当該業務の実績は、当該項目が独立行政法人通則法の一部を改正する法律（平成二十六年法律第六十六号）による改正前の通則法（以下この表において「旧通則法」という。）第二十九条第二項第三号」と、「同項第三号から第五号まで」とあるのは「同項第二号、第四号及び第五号」と、「通則法第二十九条第二項第二号から」とあるのは「旧通則法第二十九条第二項第二号から」と、「期間における業務の実績。なお、当該業務の実績は、当該項目が通則法第二十九条第二項第二号」とあるのは「期間における業務の実績。なお、当該業務の実績は、当該項目が旧通則法第二十九条第二項第三号」とする。</w:t>
      </w:r>
    </w:p>
    <w:p>
      <w:pPr>
        <w:pStyle w:val="Heading6"/>
        <w:ind w:left="880"/>
      </w:pPr>
      <w:r>
        <w:t>一～五</w:t>
      </w:r>
    </w:p>
    <w:p>
      <w:pPr>
        <w:ind w:left="880"/>
      </w:pPr>
      <w:r>
        <w:t>〔略〕</w:t>
      </w:r>
    </w:p>
    <w:p>
      <w:pPr>
        <w:pStyle w:val="Heading6"/>
        <w:ind w:left="880"/>
      </w:pPr>
      <w:r>
        <w:t>六</w:t>
      </w:r>
    </w:p>
    <w:p>
      <w:pPr>
        <w:ind w:left="880"/>
      </w:pPr>
      <w:r>
        <w:t>独立行政法人国立美術館に関する省令第五条第一項</w:t>
      </w:r>
    </w:p>
    <w:p>
      <w:pPr>
        <w:pStyle w:val="Heading6"/>
        <w:ind w:left="880"/>
      </w:pPr>
      <w:r>
        <w:t>七～十三</w:t>
      </w:r>
    </w:p>
    <w:p>
      <w:pPr>
        <w:ind w:left="880"/>
      </w:pPr>
      <w:r>
        <w:t>略</w:t>
      </w:r>
    </w:p>
    <w:p>
      <w:pPr>
        <w:pStyle w:val="Heading5"/>
        <w:ind w:left="440"/>
      </w:pPr>
      <w:r>
        <w:t>３</w:t>
      </w:r>
    </w:p>
    <w:p>
      <w:pPr>
        <w:ind w:left="440"/>
      </w:pPr>
      <w:r>
        <w:t>略</w:t>
      </w:r>
    </w:p>
    <w:p>
      <w:pPr>
        <w:pStyle w:val="Heading4"/>
      </w:pPr>
      <w:r>
        <w:t>第三条（業務報告書又は事業報告書の作成に係る経過措置）</w:t>
      </w:r>
    </w:p>
    <w:p>
      <w:r>
        <w:t>この省令による改正後の次に掲げる省令の規定は、通則法改正法の施行の日以後に開始する事業年度に係る業務報告書又は事業報告書から適用する。</w:t>
      </w:r>
    </w:p>
    <w:p>
      <w:pPr>
        <w:pStyle w:val="Heading6"/>
        <w:ind w:left="880"/>
      </w:pPr>
      <w:r>
        <w:t>一から九まで</w:t>
      </w:r>
    </w:p>
    <w:p>
      <w:pPr>
        <w:ind w:left="880"/>
      </w:pPr>
      <w:r>
        <w:t>略</w:t>
      </w:r>
    </w:p>
    <w:p>
      <w:pPr>
        <w:pStyle w:val="Heading6"/>
        <w:ind w:left="880"/>
      </w:pPr>
      <w:r>
        <w:t>十</w:t>
      </w:r>
    </w:p>
    <w:p>
      <w:pPr>
        <w:ind w:left="880"/>
      </w:pPr>
      <w:r>
        <w:t>独立行政法人国立美術館に関する省令第十条の二第三項</w:t>
      </w:r>
    </w:p>
    <w:p>
      <w:r>
        <w:br w:type="page"/>
      </w:r>
    </w:p>
    <w:p>
      <w:pPr>
        <w:pStyle w:val="Heading1"/>
      </w:pPr>
      <w:r>
        <w:t>附　則（平成二八年四月一日文部科学省令第二三号）</w:t>
      </w:r>
    </w:p>
    <w:p>
      <w:pPr>
        <w:pStyle w:val="Heading4"/>
      </w:pPr>
      <w:r>
        <w:t>第一条（施行期日）</w:t>
      </w:r>
    </w:p>
    <w:p>
      <w:r>
        <w:t>この省令は、平成二十八年四月一日から施行する。</w:t>
      </w:r>
    </w:p>
    <w:p>
      <w:r>
        <w:br w:type="page"/>
      </w:r>
    </w:p>
    <w:p>
      <w:pPr>
        <w:pStyle w:val="Heading1"/>
      </w:pPr>
      <w:r>
        <w:t>附　則（平成三〇年二月七日文部科学省令第二号）</w:t>
      </w:r>
    </w:p>
    <w:p>
      <w:r>
        <w:t>この省令は、平成三十年四月一日から施行する。</w:t>
      </w:r>
    </w:p>
    <w:p>
      <w:r>
        <w:br w:type="page"/>
      </w:r>
    </w:p>
    <w:p>
      <w:pPr>
        <w:pStyle w:val="Heading1"/>
      </w:pPr>
      <w:r>
        <w:t>附　則（平成三〇年一〇月一日文部科学省令第二九号）</w:t>
      </w:r>
    </w:p>
    <w:p>
      <w:pPr>
        <w:pStyle w:val="Heading4"/>
      </w:pPr>
      <w:r>
        <w:t>第一条（施行期日）</w:t>
      </w:r>
    </w:p>
    <w:p>
      <w:r>
        <w:t>この省令は、平成三十年十月一日から施行する。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独立行政法人国立美術館に関する省令</w:t>
      <w:br/>
      <w:tab/>
      <w:t>（平成十三年文部科学省令第四十号）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独立行政法人国立美術館に関する省令（平成十三年文部科学省令第四十号）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