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独立行政法人国立美術館に関する省令</w:t>
        <w:br/>
        <w:t>（平成十三年文部科学省令第四十号）</w:t>
      </w:r>
    </w:p>
    <w:p>
      <w:pPr>
        <w:pStyle w:val="Heading4"/>
      </w:pPr>
      <w:r>
        <w:t>第一条（通則法第八条第三項に規定する主務省令で定める重要な財産）</w:t>
      </w:r>
    </w:p>
    <w:p>
      <w:r>
        <w:t>独立行政法人国立美術館（以下「国立美術館」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国立美術館に係る通則法第十九条第四項の規定により主務省令で定める事項については、この条の定めるところによる。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国立美術館の役員及び職員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監事は、その職務の遂行に当たり、必要に応じ、国立美術館の他の監事との意思疎通及び情報の交換を図るよう努めなければならない。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国立美術館の業務が、法令等に従って適正に実施されているかどうか及び中期目標の着実な達成に向け効果的かつ効率的に実施されているかどうかについての意見</w:t>
      </w:r>
    </w:p>
    <w:p>
      <w:pPr>
        <w:pStyle w:val="ListBullet"/>
        <w:ind w:left="880"/>
      </w:pPr>
      <w:r>
        <w:t>三</w:t>
        <w:br/>
        <w:t>国立美術館の役員の職務の執行が法令等に適合することを確保するための体制その他国立美術館の業務の適正を確保するための体制の整備及び運用についての意見</w:t>
      </w:r>
    </w:p>
    <w:p>
      <w:pPr>
        <w:pStyle w:val="ListBullet"/>
        <w:ind w:left="880"/>
      </w:pPr>
      <w:r>
        <w:t>四</w:t>
        <w:br/>
        <w:t>国立美術館の役員の職務の遂行に関し、不正の行為又は法令等に違反する重大な事実があったときは、その事実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国立美術館に係る通則法第十九条第六項第二号に規定する主務省令で定める書類は、独立行政法人国立美術館法（平成十一年法律第百七十七号。以下「国立美術館法」という。）及びこの省令の規定に基づき文部科学大臣に提出する書類とする。</w:t>
      </w:r>
    </w:p>
    <w:p>
      <w:pPr>
        <w:pStyle w:val="Heading4"/>
      </w:pPr>
      <w:r>
        <w:t>第一条の四（業務方法書に記載すべき事項）</w:t>
      </w:r>
    </w:p>
    <w:p>
      <w:r>
        <w:t>国立美術館に係る通則法第二十八条第二項の主務省令で定める業務方法書に記載すべき事項は、次のとおりとする。</w:t>
      </w:r>
    </w:p>
    <w:p>
      <w:pPr>
        <w:pStyle w:val="ListBullet"/>
        <w:ind w:left="880"/>
      </w:pPr>
      <w:r>
        <w:t>一</w:t>
        <w:br/>
        <w:t>国立美術館法第十一条第一号の規定に基づく東京国立近代美術館、京都国立近代美術館、国立映画アーカイブ、国立西洋美術館、国立国際美術館及び国立新美術館の設置に関する事項</w:t>
      </w:r>
    </w:p>
    <w:p>
      <w:pPr>
        <w:pStyle w:val="ListBullet"/>
        <w:ind w:left="880"/>
      </w:pPr>
      <w:r>
        <w:t>二</w:t>
        <w:br/>
        <w:t>国立美術館法第十一条第二号に規定する美術に関する作品その他の資料の収集、保管及び供覧に関する事項</w:t>
      </w:r>
    </w:p>
    <w:p>
      <w:pPr>
        <w:pStyle w:val="ListBullet"/>
        <w:ind w:left="880"/>
      </w:pPr>
      <w:r>
        <w:t>三</w:t>
        <w:br/>
        <w:t>国立美術館法第十一条第三号に規定する調査及び研究に関する事項</w:t>
      </w:r>
    </w:p>
    <w:p>
      <w:pPr>
        <w:pStyle w:val="ListBullet"/>
        <w:ind w:left="880"/>
      </w:pPr>
      <w:r>
        <w:t>四</w:t>
        <w:br/>
        <w:t>国立美術館法第十一条第四号に規定する情報及び資料の収集、整理及び提供に関する事項</w:t>
      </w:r>
    </w:p>
    <w:p>
      <w:pPr>
        <w:pStyle w:val="ListBullet"/>
        <w:ind w:left="880"/>
      </w:pPr>
      <w:r>
        <w:t>五</w:t>
        <w:br/>
        <w:t>国立美術館法第十一条第五号に規定する教育及び普及の事業に関する事項</w:t>
      </w:r>
    </w:p>
    <w:p>
      <w:pPr>
        <w:pStyle w:val="ListBullet"/>
        <w:ind w:left="880"/>
      </w:pPr>
      <w:r>
        <w:t>六</w:t>
        <w:br/>
        <w:t>国立美術館法第十一条第六号に規定する美術館の供用に関する事項</w:t>
      </w:r>
    </w:p>
    <w:p>
      <w:pPr>
        <w:pStyle w:val="ListBullet"/>
        <w:ind w:left="880"/>
      </w:pPr>
      <w:r>
        <w:t>七</w:t>
        <w:br/>
        <w:t>国立美術館法第十一条第七号に規定する研修に関する事項</w:t>
      </w:r>
    </w:p>
    <w:p>
      <w:pPr>
        <w:pStyle w:val="ListBullet"/>
        <w:ind w:left="880"/>
      </w:pPr>
      <w:r>
        <w:t>八</w:t>
        <w:br/>
        <w:t>国立美術館法第十一条第八号に規定する援助及び助言に関する事項</w:t>
      </w:r>
    </w:p>
    <w:p>
      <w:pPr>
        <w:pStyle w:val="ListBullet"/>
        <w:ind w:left="880"/>
      </w:pPr>
      <w:r>
        <w:t>九</w:t>
        <w:br/>
        <w:t>国立美術館法第十一条第九号に規定する附帯業務に関する事項</w:t>
      </w:r>
    </w:p>
    <w:p>
      <w:pPr>
        <w:pStyle w:val="ListBullet"/>
        <w:ind w:left="880"/>
      </w:pPr>
      <w:r>
        <w:t>十</w:t>
        <w:br/>
        <w:t>業務委託の基準</w:t>
      </w:r>
    </w:p>
    <w:p>
      <w:pPr>
        <w:pStyle w:val="ListBullet"/>
        <w:ind w:left="880"/>
      </w:pPr>
      <w:r>
        <w:t>十一</w:t>
        <w:br/>
        <w:t>競争入札その他契約に関する基本的事項</w:t>
      </w:r>
    </w:p>
    <w:p>
      <w:pPr>
        <w:pStyle w:val="ListBullet"/>
        <w:ind w:left="880"/>
      </w:pPr>
      <w:r>
        <w:t>十二</w:t>
        <w:br/>
        <w:t>その他国立美術館の業務の執行に関して必要な事項</w:t>
      </w:r>
    </w:p>
    <w:p>
      <w:pPr>
        <w:pStyle w:val="Heading4"/>
      </w:pPr>
      <w:r>
        <w:t>第二条（中期計画の作成・変更に係る事項）</w:t>
      </w:r>
    </w:p>
    <w:p>
      <w:r>
        <w:t>国立美術館は、通則法第三十条第一項の規定により中期計画の認可を受けようとするときは、中期計画を記載した申請書を、当該中期計画の最初の事業年度開始三十日前までに（国立美術館の最初の事業年度の属する中期計画については、国立美術館の成立後遅滞なく）、文部科学大臣に提出しなければならない。</w:t>
      </w:r>
    </w:p>
    <w:p>
      <w:pPr>
        <w:pStyle w:val="Heading5"/>
        <w:ind w:left="440"/>
      </w:pPr>
      <w:r>
        <w:t>２</w:t>
      </w:r>
    </w:p>
    <w:p>
      <w:pPr>
        <w:ind w:left="440"/>
      </w:pPr>
      <w:r>
        <w:t>国立美術館は、通則法第三十条第一項後段の規定により中期計画の変更の認可を受けようとするときは、変更しようとする事項及びその理由を記載した申請書を文部科学大臣に提出しなければならない。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国立美術館に係る通則法第三十条第二項第八号に規定する主務省令で定める業務運営に関する事項は、次に掲げる事項とする。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中期目標期間を超える債務負担</w:t>
      </w:r>
    </w:p>
    <w:p>
      <w:pPr>
        <w:pStyle w:val="ListBullet"/>
        <w:ind w:left="880"/>
      </w:pPr>
      <w:r>
        <w:t>四</w:t>
        <w:br/>
        <w:t>積立金の使途</w:t>
      </w:r>
    </w:p>
    <w:p>
      <w:pPr>
        <w:pStyle w:val="Heading4"/>
      </w:pPr>
      <w:r>
        <w:t>第四条（年度計画の作成・変更に係る事項）</w:t>
      </w:r>
    </w:p>
    <w:p>
      <w:r>
        <w:t>国立美術館に係る通則法第三十一条第一項の年度計画には、中期計画に定めた事項に関し、当該事業年度において実施すべき事項を記載しなければならない。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国立美術館は、通則法第三十一条第一項後段の規定により年度計画の変更をしたときは、変更した事項及びその理由を記載した届出書を文部科学大臣に提出しなければならない。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国立美術館に係る通則法第三十二条第二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国立美術館は、前項に規定する報告書を文部科学大臣に提出したときは、速やかに、当該報告書をインターネットの利用その他の適切な方法により公表するものとする。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国立美術館の会計については、この省令の定めるところにより、この省令に定めのないものについては、一般に公正妥当と認められる企業会計の基準に従うものとする。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国立美術館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国立美術館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国立美術館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国立美術館に係る通則法第三十八条第一項に規定する主務省令で定める書類は、キャッシュ・フロー計算書及び行政サービス実施コスト計算書とする。</w:t>
      </w:r>
    </w:p>
    <w:p>
      <w:pPr>
        <w:pStyle w:val="Heading4"/>
      </w:pPr>
      <w:r>
        <w:t>第十条の二（事業報告書の作成）</w:t>
      </w:r>
    </w:p>
    <w:p>
      <w:r>
        <w:t>国立美術館に係る通則法第三十八条第二項の規定により主務省令で定める事項については、この条の定めるところによる。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国立美術館に関する基礎的な情報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一条第一項に規定する年度計画に記載されたセグメント（国立美術館を構成する一定の単位をいう。）ごとの予算に関する見積りと当該予算の執行実績を明らかにした資料を添付するものとする。</w:t>
      </w:r>
    </w:p>
    <w:p>
      <w:pPr>
        <w:pStyle w:val="Heading4"/>
      </w:pPr>
      <w:r>
        <w:t>第十一条（財務諸表の閲覧期間）</w:t>
      </w:r>
    </w:p>
    <w:p>
      <w:r>
        <w:t>国立美術館に係る通則法第三十八条第三項に規定する主務省令で定める期間は、五年とする。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国立美術館の役員（監事を除く。）及び職員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国立美術館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国立美術館は、通則法第四十五条第一項ただし書の規定により短期借入金の借入れの認可を受けようとするとき、又は同条第二項ただし書の規定により短期借入金の借換えの認可を受けようとするときは、次の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第十三条（通則法第四十八条に規定する主務省令で定める重要な財産）</w:t>
      </w:r>
    </w:p>
    <w:p>
      <w:r>
        <w:t>国立美術館に係る通則法第四十八条に規定する主務省令で定める重要な財産は、土地及び建物並びに文部科学大臣が指定するその他の財産とする。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国立美術館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国立美術館の業務運営上支障がない旨及びその理由</w:t>
      </w:r>
    </w:p>
    <w:p>
      <w:pPr>
        <w:pStyle w:val="Heading5"/>
        <w:ind w:left="440"/>
      </w:pPr>
      <w:r>
        <w:t>２</w:t>
      </w:r>
    </w:p>
    <w:p>
      <w:pPr>
        <w:ind w:left="440"/>
      </w:pPr>
      <w:r>
        <w:t>美術に関する作品（前条に規定する重要な財産であるものに限る。）の処分等について認可を受けようとするときは、前項に掲げる事項のほか、次に掲げる事項を申請書に記載しなければならない。</w:t>
      </w:r>
    </w:p>
    <w:p>
      <w:pPr>
        <w:pStyle w:val="ListBullet"/>
        <w:ind w:left="880"/>
      </w:pPr>
      <w:r>
        <w:t>一</w:t>
        <w:br/>
        <w:t>処分等の相手方の氏名又は名称及び住所</w:t>
      </w:r>
    </w:p>
    <w:p>
      <w:pPr>
        <w:pStyle w:val="ListBullet"/>
        <w:ind w:left="880"/>
      </w:pPr>
      <w:r>
        <w:t>二</w:t>
        <w:br/>
        <w:t>処分等が当該美術に関する作品の保存及び活用に資することとなる旨及びその理由</w:t>
      </w:r>
    </w:p>
    <w:p>
      <w:pPr>
        <w:pStyle w:val="Heading4"/>
      </w:pPr>
      <w:r>
        <w:t>第十四条の二（通則法第五十条の六第一号に規定する主務省令で定める内部組織）</w:t>
      </w:r>
    </w:p>
    <w:p>
      <w:r>
        <w:t>国立美術館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国立美術館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国立美術館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pPr>
        <w:pStyle w:val="Heading4"/>
      </w:pPr>
      <w:r>
        <w:t>第十六条（評価に関する庶務）</w:t>
      </w:r>
    </w:p>
    <w:p>
      <w:r>
        <w:t>国立美術館法附則第五条第三項及び第六条第二項に規定する評価に関する庶務は、文化庁企画調整課において処理する。</w:t>
      </w:r>
    </w:p>
    <w:p>
      <w:r>
        <w:br w:type="page"/>
      </w:r>
    </w:p>
    <w:p>
      <w:pPr>
        <w:pStyle w:val="Heading1"/>
      </w:pPr>
      <w:r>
        <w:t>附　則</w:t>
      </w:r>
    </w:p>
    <w:p>
      <w:pPr>
        <w:pStyle w:val="Heading4"/>
      </w:pPr>
      <w:r>
        <w:t>第一条（施行期日）</w:t>
      </w:r>
    </w:p>
    <w:p>
      <w:r>
        <w:t>この省令は、平成十三年四月一日から施行する。</w:t>
        <w:br/>
        <w:t>ただし、第十六条の規定は、公布の日から施行する。</w:t>
      </w:r>
    </w:p>
    <w:p>
      <w:pPr>
        <w:pStyle w:val="Heading4"/>
      </w:pPr>
      <w:r>
        <w:t>第二条（成立の際の会計処理の特例）</w:t>
      </w:r>
    </w:p>
    <w:p>
      <w:r>
        <w:t>国立美術館の成立の際国立美術館法第五条第二項の規定により国立美術館に出資されたものとされる財産のうち償却資産については、第九条第一項の指定があったものとみなす。</w:t>
      </w:r>
    </w:p>
    <w:p>
      <w:r>
        <w:br w:type="page"/>
      </w:r>
    </w:p>
    <w:p>
      <w:pPr>
        <w:pStyle w:val="Heading1"/>
      </w:pPr>
      <w:r>
        <w:t>附則（平成一四年四月一日文部科学省令第二四号）</w:t>
      </w:r>
    </w:p>
    <w:p>
      <w:r>
        <w:t>この省令は、公布の日から施行する。</w:t>
      </w:r>
    </w:p>
    <w:p>
      <w:r>
        <w:br w:type="page"/>
      </w:r>
    </w:p>
    <w:p>
      <w:pPr>
        <w:pStyle w:val="Heading1"/>
      </w:pPr>
      <w:r>
        <w:t>附則（平成一八年六月三〇日文部科学省令第三〇号）</w:t>
      </w:r>
    </w:p>
    <w:p>
      <w:r>
        <w:t>この省令は、平成十八年七月一日から施行する。</w:t>
      </w:r>
    </w:p>
    <w:p>
      <w:r>
        <w:br w:type="page"/>
      </w:r>
    </w:p>
    <w:p>
      <w:pPr>
        <w:pStyle w:val="Heading1"/>
      </w:pPr>
      <w:r>
        <w:t>附則（平成一九年三月三一日文部科学省令第一四号）</w:t>
      </w:r>
    </w:p>
    <w:p>
      <w:pPr>
        <w:pStyle w:val="Heading5"/>
        <w:ind w:left="440"/>
      </w:pPr>
      <w:r>
        <w:t>１</w:t>
      </w:r>
    </w:p>
    <w:p>
      <w:pPr>
        <w:ind w:left="440"/>
      </w:pPr>
      <w:r>
        <w:t>この省令は、公布の日から施行し、平成十九年四月一日から適用する。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一～五</w:t>
        <w:br/>
        <w:t>〔略〕</w:t>
      </w:r>
    </w:p>
    <w:p>
      <w:pPr>
        <w:pStyle w:val="ListBullet"/>
        <w:ind w:left="880"/>
      </w:pPr>
      <w:r>
        <w:t>六</w:t>
        <w:br/>
        <w:t>独立行政法人国立美術館に関する省令第五条第一項</w:t>
      </w:r>
    </w:p>
    <w:p>
      <w:pPr>
        <w:pStyle w:val="ListBullet"/>
        <w:ind w:left="880"/>
      </w:pPr>
      <w:r>
        <w:t>七～十三</w:t>
        <w:br/>
        <w:t>略</w:t>
      </w:r>
    </w:p>
    <w:p>
      <w:pPr>
        <w:pStyle w:val="Heading5"/>
        <w:ind w:left="440"/>
      </w:pPr>
      <w:r>
        <w:t>３</w:t>
      </w:r>
    </w:p>
    <w:p>
      <w:pPr>
        <w:ind w:left="440"/>
      </w:pPr>
      <w:r>
        <w:t>略</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一から九まで</w:t>
        <w:br/>
        <w:t>略</w:t>
      </w:r>
    </w:p>
    <w:p>
      <w:pPr>
        <w:pStyle w:val="ListBullet"/>
        <w:ind w:left="880"/>
      </w:pPr>
      <w:r>
        <w:t>十</w:t>
        <w:br/>
        <w:t>独立行政法人国立美術館に関する省令第十条の二第三項</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附則（平成三〇年二月七日文部科学省令第二号）</w:t>
      </w:r>
    </w:p>
    <w:p>
      <w:r>
        <w:t>この省令は、平成三十年四月一日から施行する。</w:t>
      </w:r>
    </w:p>
    <w:p>
      <w:r>
        <w:br w:type="page"/>
      </w:r>
    </w:p>
    <w:p>
      <w:pPr>
        <w:pStyle w:val="Heading1"/>
      </w:pPr>
      <w:r>
        <w:t>附則（平成三〇年一〇月一日文部科学省令第二九号）</w:t>
      </w:r>
    </w:p>
    <w:p>
      <w:pPr>
        <w:pStyle w:val="Heading4"/>
      </w:pPr>
      <w:r>
        <w:t>第一条（施行期日）</w:t>
      </w:r>
    </w:p>
    <w:p>
      <w:r>
        <w:t>この省令は、平成三十年十月一日から施行する。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独立行政法人国立美術館に関する省令</w:t>
      <w:br/>
      <w:tab/>
      <w:t>（平成十三年文部科学省令第四十号）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独立行政法人国立美術館に関する省令（平成十三年文部科学省令第四十号）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