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独立行政法人国立美術館法</w:t>
        <w:br/>
        <w:t>（平成十一年法律第百七十七号）</w:t>
      </w:r>
    </w:p>
    <w:p>
      <w:pPr>
        <w:pStyle w:val="Heading2"/>
      </w:pPr>
      <w:r>
        <w:t>第一章　総則</w:t>
      </w:r>
    </w:p>
    <w:p>
      <w:pPr>
        <w:pStyle w:val="Heading4"/>
      </w:pPr>
      <w:r>
        <w:t>第一条（目的）</w:t>
      </w:r>
    </w:p>
    <w:p>
      <w:r>
        <w:t>この法律は、独立行政法人国立美術館の名称、目的、業務の範囲等に関する事項を定めることを目的とする。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立美術館とする。</w:t>
      </w:r>
    </w:p>
    <w:p>
      <w:pPr>
        <w:pStyle w:val="Heading4"/>
      </w:pPr>
      <w:r>
        <w:t>第三条（国立美術館の目的）</w:t>
      </w:r>
    </w:p>
    <w:p>
      <w:r>
        <w:t>独立行政法人国立美術館（以下「国立美術館」という。）は、美術館を設置して、美術（映画を含む。以下同じ。）に関する作品その他の資料を収集し、保管して公衆の観覧に供するとともに、これに関連する調査及び研究並びに教育及び普及の事業等を行うことにより、芸術その他の文化の振興を図ることを目的とする。</w:t>
      </w:r>
    </w:p>
    <w:p>
      <w:pPr>
        <w:pStyle w:val="Heading4"/>
      </w:pPr>
      <w:r>
        <w:t>第三条の二（中期目標管理法人）</w:t>
      </w:r>
    </w:p>
    <w:p>
      <w:r>
        <w:t>国立美術館は、通則法第二条第二項に規定する中期目標管理法人とする。</w:t>
      </w:r>
    </w:p>
    <w:p>
      <w:pPr>
        <w:pStyle w:val="Heading4"/>
      </w:pPr>
      <w:r>
        <w:t>第四条（事務所）</w:t>
      </w:r>
    </w:p>
    <w:p>
      <w:r>
        <w:t>国立美術館は、主たる事務所を東京都に置く。</w:t>
      </w:r>
    </w:p>
    <w:p>
      <w:pPr>
        <w:pStyle w:val="Heading4"/>
      </w:pPr>
      <w:r>
        <w:t>第五条（資本金）</w:t>
      </w:r>
    </w:p>
    <w:p>
      <w:r>
        <w:t>国立美術館の資本金は、附則第五条第二項の規定により政府から出資があったものとされた金額とする。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政府は、必要があると認めるときは、予算で定める金額の範囲内において、国立美術館に追加して出資することができる。</w:t>
      </w:r>
    </w:p>
    <w:p>
      <w:pPr>
        <w:pStyle w:val="Heading5"/>
        <w:ind w:left="440"/>
      </w:pPr>
      <w:r>
        <w:t>３</w:t>
      </w:r>
    </w:p>
    <w:p>
      <w:pPr>
        <w:ind w:left="440"/>
      </w:pPr>
      <w:r>
        <w:t>政府は、必要があると認めるときは、前項の規定にかかわらず、土地、建物その他の土地の定着物及びその建物に附属する工作物（第五項において「土地等」という。）を出資の目的として、国立美術館に追加して出資することができる。</w:t>
      </w:r>
    </w:p>
    <w:p>
      <w:pPr>
        <w:pStyle w:val="Heading5"/>
        <w:ind w:left="440"/>
      </w:pPr>
      <w:r>
        <w:t>４</w:t>
      </w:r>
    </w:p>
    <w:p>
      <w:pPr>
        <w:ind w:left="440"/>
      </w:pPr>
      <w:r>
        <w:t>国立美術館は、前二項又は附則第六条第一項の規定による政府の出資があったときは、その出資額により資本金を増加するものとする。</w:t>
      </w:r>
    </w:p>
    <w:p>
      <w:pPr>
        <w:pStyle w:val="Heading5"/>
        <w:ind w:left="440"/>
      </w:pPr>
      <w:r>
        <w:t>５</w:t>
      </w:r>
    </w:p>
    <w:p>
      <w:pPr>
        <w:ind w:left="440"/>
      </w:pPr>
      <w:r>
        <w:t>第三項の規定により政府が出資の目的とする土地等の価額は、出資の日現在における時価を基準として評価委員が評価した価額とする。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2"/>
      </w:pPr>
      <w:r>
        <w:t>第二章　役員及び職員</w:t>
      </w:r>
    </w:p>
    <w:p>
      <w:pPr>
        <w:pStyle w:val="Heading4"/>
      </w:pPr>
      <w:r>
        <w:t>第六条（役員）</w:t>
      </w:r>
    </w:p>
    <w:p>
      <w:r>
        <w:t>国立美術館に、役員として、その長である理事長及び監事二人を置く。</w:t>
      </w:r>
    </w:p>
    <w:p>
      <w:pPr>
        <w:pStyle w:val="Heading5"/>
        <w:ind w:left="440"/>
      </w:pPr>
      <w:r>
        <w:t>２</w:t>
      </w:r>
    </w:p>
    <w:p>
      <w:pPr>
        <w:ind w:left="440"/>
      </w:pPr>
      <w:r>
        <w:t>国立美術館に、役員として、理事三人以内を置くことができる。</w:t>
      </w:r>
    </w:p>
    <w:p>
      <w:pPr>
        <w:pStyle w:val="Heading4"/>
      </w:pPr>
      <w:r>
        <w:t>第七条（理事の職務及び権限等）</w:t>
      </w:r>
    </w:p>
    <w:p>
      <w:r>
        <w:t>理事は、理事長の定めるところにより、理事長を補佐して国立美術館の業務を掌理する。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理事の任期は、四年とする。</w:t>
      </w:r>
    </w:p>
    <w:p>
      <w:pPr>
        <w:pStyle w:val="Heading4"/>
      </w:pPr>
      <w:r>
        <w:t>第九条（役員の欠格条項の特例）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国立美術館の非常勤の理事及び監事の解任に関する通則法第二十三条第一項の規定の適用については、同項中「前条」とあるのは、「前条及び独立行政法人国立美術館法第九条第一項」とする。</w:t>
      </w:r>
    </w:p>
    <w:p>
      <w:pPr>
        <w:pStyle w:val="Heading4"/>
      </w:pPr>
      <w:r>
        <w:t>第十条（役員及び職員の地位）</w:t>
      </w:r>
    </w:p>
    <w:p>
      <w:r>
        <w:t>国立美術館の役員及び職員は、刑法（明治四十年法律第四十五号）その他の罰則の適用については、法令により公務に従事する職員とみなす。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国立美術館は、第三条の目的を達成するため、次の業務を行う。</w:t>
      </w:r>
    </w:p>
    <w:p>
      <w:pPr>
        <w:pStyle w:val="ListBullet"/>
        <w:ind w:left="880"/>
      </w:pPr>
      <w:r>
        <w:t>一</w:t>
        <w:br/>
        <w:t>美術館を設置すること。</w:t>
      </w:r>
    </w:p>
    <w:p>
      <w:pPr>
        <w:pStyle w:val="ListBullet"/>
        <w:ind w:left="880"/>
      </w:pPr>
      <w:r>
        <w:t>二</w:t>
        <w:br/>
        <w:t>美術に関する作品その他の資料を収集し、保管して公衆の観覧に供すること。</w:t>
      </w:r>
    </w:p>
    <w:p>
      <w:pPr>
        <w:pStyle w:val="ListBullet"/>
        <w:ind w:left="880"/>
      </w:pPr>
      <w:r>
        <w:t>三</w:t>
        <w:br/>
        <w:t>前号の業務に関連する調査及び研究を行うこと。</w:t>
      </w:r>
    </w:p>
    <w:p>
      <w:pPr>
        <w:pStyle w:val="ListBullet"/>
        <w:ind w:left="880"/>
      </w:pPr>
      <w:r>
        <w:t>四</w:t>
        <w:br/>
        <w:t>第二号の業務に関連する情報及び資料を収集し、整理し、及び提供すること。</w:t>
      </w:r>
    </w:p>
    <w:p>
      <w:pPr>
        <w:pStyle w:val="ListBullet"/>
        <w:ind w:left="880"/>
      </w:pPr>
      <w:r>
        <w:t>五</w:t>
        <w:br/>
        <w:t>第二号の業務に関連する講演会の開催、出版物の刊行その他の教育及び普及の事業を行うこと。</w:t>
      </w:r>
    </w:p>
    <w:p>
      <w:pPr>
        <w:pStyle w:val="ListBullet"/>
        <w:ind w:left="880"/>
      </w:pPr>
      <w:r>
        <w:t>六</w:t>
        <w:br/>
        <w:t>第一号の美術館を芸術その他の文化の振興を目的とする事業の利用に供すること。</w:t>
      </w:r>
    </w:p>
    <w:p>
      <w:pPr>
        <w:pStyle w:val="ListBullet"/>
        <w:ind w:left="880"/>
      </w:pPr>
      <w:r>
        <w:t>七</w:t>
        <w:br/>
        <w:t>第二号から第五号までの業務に関し、美術館その他これに類する施設の職員に対する研修を行うこと。</w:t>
      </w:r>
    </w:p>
    <w:p>
      <w:pPr>
        <w:pStyle w:val="ListBullet"/>
        <w:ind w:left="880"/>
      </w:pPr>
      <w:r>
        <w:t>八</w:t>
        <w:br/>
        <w:t>第二号から第五号までの業務に関し、美術館その他これに類する施設の求めに応じて援助及び助言を行うこと。</w:t>
      </w:r>
    </w:p>
    <w:p>
      <w:pPr>
        <w:pStyle w:val="ListBullet"/>
        <w:ind w:left="880"/>
      </w:pPr>
      <w:r>
        <w:t>九</w:t>
        <w:br/>
        <w:t>前各号の業務に附帯する業務を行うこと。</w:t>
      </w:r>
    </w:p>
    <w:p>
      <w:pPr>
        <w:pStyle w:val="Heading4"/>
      </w:pPr>
      <w:r>
        <w:t>第十二条（積立金の処分）</w:t>
      </w:r>
    </w:p>
    <w:p>
      <w:r>
        <w:t>国立美術館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国立美術館は、第一項に規定する積立金の額に相当する金額から同項の規定による承認を受けた金額を控除してなお残余があるときは、その残余の額を国庫に納付しなければならない。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4"/>
      </w:pPr>
      <w:r>
        <w:t>第十三条（美術に関する作品の処分等の制限）</w:t>
      </w:r>
    </w:p>
    <w:p>
      <w:r>
        <w:t>文部科学大臣は、国立美術館がその所有する美術に関する作品（通則法第三十条第二項第五号に規定する財産若しくは同項第六号に規定する重要な財産、通則法第四十六条の二第一項に規定する政府出資等に係る不要財産又は通則法第四十八条に規定する重要な財産であるものに限る。以下この条において同じ。）を譲渡し、又は担保に供しようとする場合においては、当該譲渡又は担保としての提供が当該美術に関する作品の保存及び活用に資することとなると認められるときでなければ、通則法第三十条第一項、第四十六条の二第一項若しくは第二項又は第四十八条の認可をしてはならない。</w:t>
      </w:r>
    </w:p>
    <w:p>
      <w:pPr>
        <w:pStyle w:val="Heading2"/>
      </w:pPr>
      <w:r>
        <w:t>第四章　雑則</w:t>
      </w:r>
    </w:p>
    <w:p>
      <w:pPr>
        <w:pStyle w:val="Heading4"/>
      </w:pPr>
      <w:r>
        <w:t>第十四条（主務大臣等）</w:t>
      </w:r>
    </w:p>
    <w:p>
      <w:r>
        <w:t>国立美術館に係る通則法における主務大臣及び主務省令は、それぞれ文部科学大臣及び文部科学省令とする。</w:t>
      </w:r>
    </w:p>
    <w:p>
      <w:pPr>
        <w:pStyle w:val="Heading2"/>
      </w:pPr>
      <w:r>
        <w:t>第五章　罰則</w:t>
      </w:r>
    </w:p>
    <w:p>
      <w:pPr>
        <w:pStyle w:val="Heading4"/>
      </w:pPr>
      <w:r>
        <w:t>第十五条</w:t>
      </w:r>
    </w:p>
    <w:p>
      <w:r>
        <w:t>次の各号のいずれかに該当する場合には、その違反行為をした国立美術館の役員は、二十万円以下の過料に処する。</w:t>
      </w:r>
    </w:p>
    <w:p>
      <w:pPr>
        <w:pStyle w:val="ListBullet"/>
        <w:ind w:left="880"/>
      </w:pPr>
      <w:r>
        <w:t>一</w:t>
        <w:br/>
        <w:t>第十一条に規定する業務以外の業務を行ったとき。</w:t>
      </w:r>
    </w:p>
    <w:p>
      <w:pPr>
        <w:pStyle w:val="ListBullet"/>
        <w:ind w:left="880"/>
      </w:pPr>
      <w:r>
        <w:t>二</w:t>
        <w:br/>
        <w:t>第十二条第一項の規定により文部科学大臣の承認を受けなければならない場合において、その承認を受けなかったとき。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国立美術館の成立の際現に文部科学省の機関で政令で定めるものの職員である者は、別に辞令を発せられない限り、国立美術館の成立の日において、国立美術館の相当の職員となるものとする。</w:t>
      </w:r>
    </w:p>
    <w:p>
      <w:pPr>
        <w:pStyle w:val="Heading4"/>
      </w:pPr>
      <w:r>
        <w:t>第三条</w:t>
      </w:r>
    </w:p>
    <w:p>
      <w:r>
        <w:t>国立美術館の成立の際現に前条の政令で定める機関の職員である者のうち、国立美術館の成立の日において引き続き国立美術館の職員となったもの（次条において「引継職員」という。）であって、国立美術館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国立美術館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国立美術館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国立美術館の成立の日の前日の属する月の翌月から始める。</w:t>
      </w:r>
    </w:p>
    <w:p>
      <w:pPr>
        <w:pStyle w:val="Heading4"/>
      </w:pPr>
      <w:r>
        <w:t>第四条（国立美術館の職員となる者の職員団体についての経過措置）</w:t>
      </w:r>
    </w:p>
    <w:p>
      <w:r>
        <w:t>国立美術館の成立の際現に存する国家公務員法（昭和二十二年法律第百二十号）第百八条の二第一項に規定する職員団体であって、その構成員の過半数が引継職員であるものは、国立美術館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国立美術館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第一項の規定により労働組合となったものについては、国立美術館の成立の日から起算して六十日を経過する日までは、労働組合法第二条ただし書（第一号に係る部分に限る。）の規定は、適用しない。</w:t>
      </w:r>
    </w:p>
    <w:p>
      <w:pPr>
        <w:pStyle w:val="Heading4"/>
      </w:pPr>
      <w:r>
        <w:t>第五条（権利義務の承継等）</w:t>
      </w:r>
    </w:p>
    <w:p>
      <w:r>
        <w:t>国立美術館の成立の際、第十一条に規定する業務に関し、現に国が有する権利及び義務のうち政令で定めるものは、国立美術館の成立の時において国立美術館が承継する。</w:t>
      </w:r>
    </w:p>
    <w:p>
      <w:pPr>
        <w:pStyle w:val="Heading5"/>
        <w:ind w:left="440"/>
      </w:pPr>
      <w:r>
        <w:t>２</w:t>
      </w:r>
    </w:p>
    <w:p>
      <w:pPr>
        <w:ind w:left="440"/>
      </w:pPr>
      <w:r>
        <w:t>前項の規定により国立美術館が国の有する権利及び義務を承継したときは、その承継の際、承継される権利に係る土地、建物その他の財産で政令で定めるものの価額の合計額に相当する金額は、政府から国立美術館に対し出資されたものとする。</w:t>
      </w:r>
    </w:p>
    <w:p>
      <w:pPr>
        <w:pStyle w:val="Heading5"/>
        <w:ind w:left="440"/>
      </w:pPr>
      <w:r>
        <w:t>３</w:t>
      </w:r>
    </w:p>
    <w:p>
      <w:pPr>
        <w:ind w:left="440"/>
      </w:pPr>
      <w:r>
        <w:t>前項の規定により政府から出資があったものとされる同項の財産の価額は、国立美術館の成立の日現在における時価を基準として評価委員が評価した価額とする。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国立美術館の成立の時において現に建設中の建物等（建物及びその建物に附属する工作物をいう。次項において同じ。）で政令で定めるものを国立美術館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第七条（国有財産の無償使用）</w:t>
      </w:r>
    </w:p>
    <w:p>
      <w:r>
        <w:t>国は、国立美術館の成立の際現に附則第二条の政令で定める機関に使用されている国有財産であって政令で定めるものを、政令で定めるところにより、国立美術館の用に供するため、国立美術館に無償で使用させることができる。</w:t>
      </w:r>
    </w:p>
    <w:p>
      <w:pPr>
        <w:pStyle w:val="Heading4"/>
      </w:pPr>
      <w:r>
        <w:t>第八条（政令への委任）</w:t>
      </w:r>
    </w:p>
    <w:p>
      <w:r>
        <w:t>附則第二条から前条までに定めるもののほか、国立美術館の設立に伴い必要な経過措置その他この法律の施行に関し必要な経過措置は、政令で定める。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附則（平成一八年三月三一日法律第二四号）</w:t>
      </w:r>
    </w:p>
    <w:p>
      <w:pPr>
        <w:pStyle w:val="Heading4"/>
      </w:pPr>
      <w:r>
        <w:t>第一条（施行期日）</w:t>
      </w:r>
    </w:p>
    <w:p>
      <w:r>
        <w:t>この法律は、平成十八年四月一日から施行する。</w:t>
        <w:br/>
        <w:t>ただし、附則第十条第三項及び第四項並びに第十四条の規定は、公布の日から施行する。</w:t>
      </w:r>
    </w:p>
    <w:p>
      <w:pPr>
        <w:pStyle w:val="Heading4"/>
      </w:pPr>
      <w:r>
        <w:t>第二条（職員の引継ぎ等）</w:t>
      </w:r>
    </w:p>
    <w:p/>
    <w:p>
      <w:pPr>
        <w:pStyle w:val="Heading5"/>
        <w:ind w:left="440"/>
      </w:pPr>
      <w:r>
        <w:t>２</w:t>
      </w:r>
    </w:p>
    <w:p>
      <w:pPr>
        <w:ind w:left="440"/>
      </w:pPr>
      <w:r>
        <w:t>この法律の施行の際現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の職員である者は、別に辞令を発せられない限り、施行日において、引き続きそれぞれの独立行政法人（独立行政法人国立オリンピック記念青少年総合センターにあっては、独立行政法人国立青少年教育振興機構）の職員となるものとする。</w:t>
      </w:r>
    </w:p>
    <w:p>
      <w:pPr>
        <w:pStyle w:val="Heading4"/>
      </w:pPr>
      <w:r>
        <w:t>第三条</w:t>
      </w:r>
    </w:p>
    <w:p/>
    <w:p>
      <w:pPr>
        <w:pStyle w:val="Heading5"/>
        <w:ind w:left="440"/>
      </w:pPr>
      <w:r>
        <w:t>２</w:t>
      </w:r>
    </w:p>
    <w:p>
      <w:pPr>
        <w:ind w:left="440"/>
      </w:pPr>
      <w:r>
        <w:t>前条第二項の規定により独立行政法人国立特殊教育総合研究所、独立行政法人大学入試センター、独立行政法人国立青少年教育振興機構、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後の研究所等」という。）の職員となった者に対する国家公務員法第八十二条第二項の規定の適用については、当該施行日後の研究所等の職員を同項に規定する特別職国家公務員等と、前条第二項の規定により国家公務員としての身分を失ったことを任命権者の要請に応じ同法第八十二条第二項に規定する特別職国家公務員等となるため退職したこととみなす。</w:t>
      </w:r>
    </w:p>
    <w:p>
      <w:pPr>
        <w:pStyle w:val="Heading4"/>
      </w:pPr>
      <w:r>
        <w:t>第四条</w:t>
      </w:r>
    </w:p>
    <w:p/>
    <w:p>
      <w:pPr>
        <w:pStyle w:val="Heading5"/>
        <w:ind w:left="440"/>
      </w:pPr>
      <w:r>
        <w:t>４</w:t>
      </w:r>
    </w:p>
    <w:p>
      <w:pPr>
        <w:ind w:left="440"/>
      </w:pPr>
      <w:r>
        <w:t>附則第二条第二項の規定により施行日後の研究所等の職員となる者に対しては、退職手当法に基づく退職手当は、支給しない。</w:t>
      </w:r>
    </w:p>
    <w:p>
      <w:pPr>
        <w:pStyle w:val="Heading5"/>
        <w:ind w:left="440"/>
      </w:pPr>
      <w:r>
        <w:t>５</w:t>
      </w:r>
    </w:p>
    <w:p>
      <w:pPr>
        <w:ind w:left="440"/>
      </w:pPr>
      <w:r>
        <w:t>施行日後の研究所等は、前項の規定の適用を受けた当該施行日後の研究所等の職員の退職に際し、退職手当を支給しようとするときは、その者の退職手当法第二条第一項に規定する職員（同条第二項の規定により職員とみなされる者を含む。）としての引き続いた在職期間を当該施行日後の研究所等の職員としての在職期間とみなして取り扱うべきものとする。</w:t>
      </w:r>
    </w:p>
    <w:p>
      <w:pPr>
        <w:pStyle w:val="Heading5"/>
        <w:ind w:left="440"/>
      </w:pPr>
      <w:r>
        <w:t>６</w:t>
      </w:r>
    </w:p>
    <w:p>
      <w:pPr>
        <w:ind w:left="440"/>
      </w:pPr>
      <w:r>
        <w:t>施行日の前日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前の研究所等」という。）の職員として在職する者が、附則第二条第二項の規定により引き続いて施行日後の研究所等の職員となり、かつ、引き続き当該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第二条の国立研究開発法人放射線医学総合研究所及び国立研究開発法人量子科学技術研究開発機構並びに独立行政法人国立文化財機構を含む。以下この項において同じ。）の職員として在職した後引き続いて退職手当法第二条第一項に規定する職員となった場合におけるその者の退職手当法に基づいて支給する退職手当の算定の基礎となる勤続期間の計算については、その者の当該施行日後の研究所等の職員としての在職期間を同項に規定する職員としての引き続いた在職期間とみなす。</w:t>
        <w:br/>
        <w:t>ただし、その者が当該施行日後の研究所等を退職したことにより退職手当（これに相当する給付を含む。）の支給を受けているときは、この限りでない。</w:t>
      </w:r>
    </w:p>
    <w:p>
      <w:pPr>
        <w:pStyle w:val="Heading5"/>
        <w:ind w:left="440"/>
      </w:pPr>
      <w:r>
        <w:t>７</w:t>
      </w:r>
    </w:p>
    <w:p>
      <w:pPr>
        <w:ind w:left="440"/>
      </w:pPr>
      <w:r>
        <w:t>施行日後の研究所等は、施行日の前日に施行日前の研究所等の職員として在職し、附則第二条第二項の規定により引き続いて施行日後の研究所等の職員となった者のうち施行日から雇用保険法（昭和四十九年法律第百十六号）による失業等給付の受給資格を取得するまでの間に当該施行日後の研究所等を退職したものであって、その退職した日まで当該施行日前の研究所等の職員として在職したものとしたならば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第五条（退職手当法の適用に関する経過措置）</w:t>
      </w:r>
    </w:p>
    <w:p>
      <w:r>
        <w:t>施行日前に施行日前の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退職手当法（以下この条において「旧退職手当法」という。）第十二条の二及び第十二条の三の規定の適用については、独立行政法人国立特殊教育総合研究所を退職した者にあっては独立行政法人国立特別支援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大学共同利用機関法人人間文化研究機構の、独立行政法人国立科学博物館を退職した者にあっては独立行政法人国立科学博物館の、独立行政法人物質・材料研究機構を退職した者にあっては国立研究開発法人物質・材料研究機構の、独立行政法人防災科学技術研究所を退職した者にあっては国立研究開発法人防災科学技術研究所の、独立行政法人放射線医学総合研究所を退職した者にあっては国立研究開発法人量子科学技術研究開発機構の、独立行政法人国立美術館を退職した者にあっては独立行政法人国立美術館の、独立行政法人国立博物館及び独立行政法人文化財研究所を退職した者にあっては独立行政法人国立文化財機構の長は、旧退職手当法第十二条の二第一項に規定する各省各庁の長等とみなす。</w:t>
      </w:r>
    </w:p>
    <w:p>
      <w:pPr>
        <w:pStyle w:val="Heading4"/>
      </w:pPr>
      <w:r>
        <w:t>第六条（労働組合についての経過措置）</w:t>
      </w:r>
    </w:p>
    <w:p>
      <w:r>
        <w:t>この法律の施行の際現に施行日前の研究所等に存する特定独立行政法人等の労働関係に関する法律（昭和二十三年法律第二百五十七号。次条において「特労法」という。）第四条第二項に規定する労働組合であって、その構成員の過半数が附則第二条第二項の規定により施行日後の研究所等の職員となる者であるもの（以下この項において「旧労働組合」という。）は、この法律の施行の際労働組合法（昭和二十四年法律第百七十四号）の適用を受ける労働組合となるものとする。</w:t>
        <w:br/>
        <w:t>この場合において、旧労働組合が法人であるときは、法人である労働組合となるものとする。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第十三条（罰則に関する経過措置）</w:t>
      </w:r>
    </w:p>
    <w:p>
      <w:r>
        <w:t>施行日前にした行為及び附則第九条第九項の規定によりなお従前の例によることとされる場合における施行日以後にした行為に対する罰則の適用については、なお従前の例による。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附則（平成一九年三月三〇日法律第七号）</w:t>
      </w:r>
    </w:p>
    <w:p>
      <w:pPr>
        <w:pStyle w:val="Heading4"/>
      </w:pPr>
      <w:r>
        <w:t>第一条（施行期日）</w:t>
      </w:r>
    </w:p>
    <w:p>
      <w:r>
        <w:t>この法律は、平成十九年四月一日から施行する。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附則（平成二一年三月三一日法律第一八号）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br/>
        <w:br/>
        <w:br/>
        <w:t>平成二十一年十月一日</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附則（平成二七年七月八日法律第五一号）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独立行政法人国立美術館法</w:t>
      <w:br/>
      <w:tab/>
      <w:t>（平成十一年法律第百七十七号）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独立行政法人国立美術館法（平成十一年法律第百七十七号）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