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独立行政法人国立重度知的障害者総合施設のぞみの園の業務運営、財務及び会計並びに人事管理に関する省令</w:t>
        <w:br/>
        <w:t>（平成十五年厚生労働省令第百四十九号）</w:t>
      </w:r>
    </w:p>
    <w:p>
      <w:pPr>
        <w:pStyle w:val="Heading4"/>
      </w:pPr>
      <w:r>
        <w:t>第一条（通則法第八条第三項の主務省令で定める重要な財産）</w:t>
      </w:r>
    </w:p>
    <w:p>
      <w:r>
        <w:t>独立行政法人国立重度知的障害者総合施設のぞみの園（以下「のぞみの園」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のぞみの園に係る通則法第十九条第四項の規定により主務省令で定める事項については、この条の定めるところによる。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のぞみの園の役員及び職員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監事は、その職務の遂行に当たり、必要に応じ、のぞみの園の他の監事との意思疎通及び情報の交換を図るよう努めなければならない。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のぞみの園の業務が、法令等に従って適正に実施されているかどうか及び中期目標の着実な達成に向け効果的かつ効率的に実施されているかどうかについての意見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のぞみの園の役員の職務の執行が法令等に適合することを確保するための体制その他のぞみの園の業務の適正を確保するための体制の整備及び運用についての意見</w:t>
      </w:r>
    </w:p>
    <w:p>
      <w:pPr>
        <w:pStyle w:val="Heading6"/>
        <w:ind w:left="880"/>
      </w:pPr>
      <w:r>
        <w:t>四</w:t>
      </w:r>
    </w:p>
    <w:p>
      <w:pPr>
        <w:ind w:left="880"/>
      </w:pPr>
      <w:r>
        <w:t>のぞみの園の役員の職務の遂行に関し、不正の行為又は法令等に違反する重大な事実があったときは、その事実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のぞみの園に係る通則法第十九条第六項第二号に規定する主務省令で定める書類は、独立行政法人国立重度知的障害者総合施設のぞみの園法（平成十四年法律第百六十七号。以下「のぞみの園法」という。）及びこの省令の規定並びに障害者の日常生活及び社会生活を総合的に支援するための法律（平成十七年法律第百二十三号）及び障害者の日常生活及び社会生活を総合的に支援するための法律施行規則（平成十八年厚生労働省令第十九号）の規定に基づき厚生労働大臣に提出する書類とする。</w:t>
      </w:r>
    </w:p>
    <w:p>
      <w:pPr>
        <w:pStyle w:val="Heading4"/>
      </w:pPr>
      <w:r>
        <w:t>第一条の四（業務方法書の記載事項）</w:t>
      </w:r>
    </w:p>
    <w:p>
      <w:r>
        <w:t>のぞみの園に係る通則法第二十八条第二項の主務省令で定める事項は、次のとおりとする。</w:t>
      </w:r>
    </w:p>
    <w:p>
      <w:pPr>
        <w:pStyle w:val="Heading6"/>
        <w:ind w:left="880"/>
      </w:pPr>
      <w:r>
        <w:t>一</w:t>
      </w:r>
    </w:p>
    <w:p>
      <w:pPr>
        <w:ind w:left="880"/>
      </w:pPr>
      <w:r>
        <w:t>のぞみの園法第十一条第一号に規定する施設の設置及び運営に関する事項</w:t>
      </w:r>
    </w:p>
    <w:p>
      <w:pPr>
        <w:pStyle w:val="Heading6"/>
        <w:ind w:left="880"/>
      </w:pPr>
      <w:r>
        <w:t>二</w:t>
      </w:r>
    </w:p>
    <w:p>
      <w:pPr>
        <w:ind w:left="880"/>
      </w:pPr>
      <w:r>
        <w:t>のぞみの園法第十一条第二号に規定する支援の方法に関する調査、研究及び情報の提供に関する事項</w:t>
      </w:r>
    </w:p>
    <w:p>
      <w:pPr>
        <w:pStyle w:val="Heading6"/>
        <w:ind w:left="880"/>
      </w:pPr>
      <w:r>
        <w:t>三</w:t>
      </w:r>
    </w:p>
    <w:p>
      <w:pPr>
        <w:ind w:left="880"/>
      </w:pPr>
      <w:r>
        <w:t>のぞみの園法第十一条第三号に規定する知的障害者の支援の業務に従事する者の養成及び研修に関する事項</w:t>
      </w:r>
    </w:p>
    <w:p>
      <w:pPr>
        <w:pStyle w:val="Heading6"/>
        <w:ind w:left="880"/>
      </w:pPr>
      <w:r>
        <w:t>四</w:t>
      </w:r>
    </w:p>
    <w:p>
      <w:pPr>
        <w:ind w:left="880"/>
      </w:pPr>
      <w:r>
        <w:t>のぞみの園法第十一条第四号に規定する援助及び助言に関する事項</w:t>
      </w:r>
    </w:p>
    <w:p>
      <w:pPr>
        <w:pStyle w:val="Heading6"/>
        <w:ind w:left="880"/>
      </w:pPr>
      <w:r>
        <w:t>五</w:t>
      </w:r>
    </w:p>
    <w:p>
      <w:pPr>
        <w:ind w:left="880"/>
      </w:pPr>
      <w:r>
        <w:t>業務委託の基準</w:t>
      </w:r>
    </w:p>
    <w:p>
      <w:pPr>
        <w:pStyle w:val="Heading6"/>
        <w:ind w:left="880"/>
      </w:pPr>
      <w:r>
        <w:t>六</w:t>
      </w:r>
    </w:p>
    <w:p>
      <w:pPr>
        <w:ind w:left="880"/>
      </w:pPr>
      <w:r>
        <w:t>競争入札その他契約に関する基本的事項</w:t>
      </w:r>
    </w:p>
    <w:p>
      <w:pPr>
        <w:pStyle w:val="Heading6"/>
        <w:ind w:left="880"/>
      </w:pPr>
      <w:r>
        <w:t>七</w:t>
      </w:r>
    </w:p>
    <w:p>
      <w:pPr>
        <w:ind w:left="880"/>
      </w:pPr>
      <w:r>
        <w:t>その他のぞみの園の業務の執行に関して必要な事項</w:t>
      </w:r>
    </w:p>
    <w:p>
      <w:pPr>
        <w:pStyle w:val="Heading4"/>
      </w:pPr>
      <w:r>
        <w:t>第二条（中期計画の認可の申請）</w:t>
      </w:r>
    </w:p>
    <w:p>
      <w:r>
        <w:t>のぞみの園は、通則法第三十条第一項の規定により中期計画の認可を受けようとするときは、当該中期計画の最初の事業年度開始の日の三十日前までに（のぞみの園の最初の事業年度の属する中期計画については、のぞみの園の成立後遅滞なく）、当該中期計画を記載した申請書を厚生労働大臣に提出しなければならない。</w:t>
      </w:r>
    </w:p>
    <w:p>
      <w:pPr>
        <w:pStyle w:val="Heading5"/>
        <w:ind w:left="440"/>
      </w:pPr>
      <w:r>
        <w:t>２</w:t>
      </w:r>
    </w:p>
    <w:p>
      <w:pPr>
        <w:ind w:left="440"/>
      </w:pPr>
      <w:r>
        <w:t>のぞみの園は、通則法第三十条第一項後段の規定により中期計画の変更の認可を受けようとするときは、変更しようとする事項及びその理由を記載した申請書を厚生労働大臣に提出しなければならない。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のぞみの園に係る通則法第三十条第二項第八号に規定する主務省令で定める業務運営に関する事項は、次のとおりとする。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のぞみの園法第十二条第一項に規定する積立金の処分に関する事項</w:t>
      </w:r>
    </w:p>
    <w:p>
      <w:pPr>
        <w:pStyle w:val="Heading4"/>
      </w:pPr>
      <w:r>
        <w:t>第四条（年度計画の記載事項等）</w:t>
      </w:r>
    </w:p>
    <w:p>
      <w:r>
        <w:t>のぞみの園に係る通則法第三十一条第一項に規定する年度計画には、中期計画に定めた事項に関し、当該事業年度において実施すべき事項を記載しなければならない。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のぞみの園は、通則法第三十一条第一項後段の規定により年度計画の変更をしたときは、変更した事項及びその理由を記載した届出書を厚生労働大臣に提出しなければならない。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のぞみの園に係る通則法第三十二条第二項の報告書には、当該報告書が次の表の上欄に掲げる報告書のいずれに該当するかに応じ、同表の下欄に掲げる事項を記載しなければならない。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のぞみの園は、前項に規定する報告書を厚生労働大臣に提出したときは、速やかに、当該報告書をインターネットの利用その他の適切な方法により公表するものとする。</w:t>
      </w:r>
    </w:p>
    <w:p>
      <w:pPr>
        <w:pStyle w:val="Heading4"/>
      </w:pPr>
      <w:r>
        <w:t>第六条及び第七条</w:t>
      </w:r>
    </w:p>
    <w:p>
      <w:r>
        <w:t>削除</w:t>
      </w:r>
    </w:p>
    <w:p>
      <w:pPr>
        <w:pStyle w:val="Heading4"/>
      </w:pPr>
      <w:r>
        <w:t>第八条（企業会計原則等）</w:t>
      </w:r>
    </w:p>
    <w:p>
      <w:r>
        <w:t>のぞみの園の会計については、この省令の定めるところにより、この省令に定めのないものについては、一般に公正妥当と認められる企業会計の基準に従うものとする。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第九条（償却資産の指定等）</w:t>
      </w:r>
    </w:p>
    <w:p>
      <w:r>
        <w:t>厚生労働大臣は、のぞみの園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第九条の二（譲渡差額を損益計算上の損益に計上しない譲渡取引）</w:t>
      </w:r>
    </w:p>
    <w:p>
      <w:r>
        <w:t>厚生労働大臣は、のぞみの園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第九条の三（対応する収益の獲得が予定されない資産除去債務に係る除去費用等）</w:t>
      </w:r>
    </w:p>
    <w:p>
      <w:r>
        <w:t>厚生労働大臣は、のぞみの園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第十条（財務諸表）</w:t>
      </w:r>
    </w:p>
    <w:p>
      <w:r>
        <w:t>のぞみの園に係る通則法第三十八条第一項の主務省令で定める書類は、独立行政法人会計基準に定める行政コスト計算書、純資産変動計算書及びキャッシュ・フロー計算書とする。</w:t>
      </w:r>
    </w:p>
    <w:p>
      <w:pPr>
        <w:pStyle w:val="Heading4"/>
      </w:pPr>
      <w:r>
        <w:t>第十条の二（事業報告書の作成）</w:t>
      </w:r>
    </w:p>
    <w:p>
      <w:r>
        <w:t>のぞみの園に係る通則法第三十八条第二項の規定により主務省令で定める事項については、この条の定めるところによる。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のぞみの園の目的及び業務内容</w:t>
      </w:r>
    </w:p>
    <w:p>
      <w:pPr>
        <w:pStyle w:val="Heading6"/>
        <w:ind w:left="880"/>
      </w:pPr>
      <w:r>
        <w:t>二</w:t>
      </w:r>
    </w:p>
    <w:p>
      <w:pPr>
        <w:ind w:left="880"/>
      </w:pPr>
      <w:r>
        <w:t>国の政策におけるのぞみの園の位置付け及び役割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のぞみの園に関する基礎的な情報</w:t>
      </w:r>
    </w:p>
    <w:p>
      <w:pPr>
        <w:pStyle w:val="Heading4"/>
      </w:pPr>
      <w:r>
        <w:t>第十一条（財務諸表等の閲覧期間）</w:t>
      </w:r>
    </w:p>
    <w:p>
      <w:r>
        <w:t>のぞみの園に係る通則法第三十八条第三項の主務省令で定める期間は、五年とする。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のぞみの園の役員（監事を除く。）及び職員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のぞみの園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のぞみの園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第十三条（通則法第四十八条の主務省令で定める重要な財産）</w:t>
      </w:r>
    </w:p>
    <w:p>
      <w:r>
        <w:t>のぞみの園に係る通則法第四十八条の主務省令で定める重要な財産は、土地及び建物とする。</w:t>
      </w:r>
    </w:p>
    <w:p>
      <w:pPr>
        <w:pStyle w:val="Heading4"/>
      </w:pPr>
      <w:r>
        <w:t>第十四条（通則法第四十八条の主務省令で定める重要な財産の処分等の認可の申請）</w:t>
      </w:r>
    </w:p>
    <w:p>
      <w:r>
        <w:t>のぞみの園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のぞみの園の業務運営上支障がない旨及びその理由</w:t>
      </w:r>
    </w:p>
    <w:p>
      <w:pPr>
        <w:pStyle w:val="Heading4"/>
      </w:pPr>
      <w:r>
        <w:t>第十四条の二（内部組織）</w:t>
      </w:r>
    </w:p>
    <w:p>
      <w:r>
        <w:t>のぞみの園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第十四条の三（管理又は監督の地位）</w:t>
      </w:r>
    </w:p>
    <w:p>
      <w:r>
        <w:t>のぞみの園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第十五条（積立金の処分に係る承認申請書の添付書類）</w:t>
      </w:r>
    </w:p>
    <w:p>
      <w:r>
        <w:t>のぞみの園に係る独立行政法人の組織、運営及び管理に係る共通的な事項に関する政令第二十一条第二項の厚生労働省令で定める書類は、同条第一項に規定する期間最後の事業年度の事業年度末の貸借対照表及び当該期間最後の事業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第二条（承継時の償却資産に関する経過措置）</w:t>
      </w:r>
    </w:p>
    <w:p>
      <w:r>
        <w:t>のぞみの園の成立の際、のぞみの園法附則第二条第六項の規定によりのぞみの園に出資されたものとされる財産及び同法附則第三条第一項の規定によりのぞみの園に追加して出資するものとする財産のうち償却資産は、第九条第一項の指定を受けたものとみなす。</w:t>
      </w:r>
    </w:p>
    <w:p>
      <w:pPr>
        <w:pStyle w:val="Heading4"/>
      </w:pPr>
      <w:r>
        <w:t>第三条（心身障害者福祉協会法施行規則の廃止）</w:t>
      </w:r>
    </w:p>
    <w:p>
      <w:r>
        <w:t>心身障害者福祉協会法施行規則（昭和四十六年厚生省令第一号）は、廃止する。</w:t>
      </w:r>
    </w:p>
    <w:p>
      <w:r>
        <w:br w:type="page"/>
      </w:r>
    </w:p>
    <w:p>
      <w:pPr>
        <w:pStyle w:val="Heading1"/>
      </w:pPr>
      <w:r>
        <w:t>附　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Heading6"/>
        <w:ind w:left="880"/>
      </w:pPr>
      <w:r>
        <w:t>一から三まで</w:t>
      </w:r>
    </w:p>
    <w:p>
      <w:pPr>
        <w:ind w:left="880"/>
      </w:pPr>
      <w:r>
        <w:t>略</w:t>
      </w:r>
    </w:p>
    <w:p>
      <w:pPr>
        <w:pStyle w:val="Heading6"/>
        <w:ind w:left="880"/>
      </w:pPr>
      <w:r>
        <w:t>四</w:t>
      </w:r>
    </w:p>
    <w:p>
      <w:pPr>
        <w:ind w:left="880"/>
      </w:pPr>
      <w:r>
        <w:t>新国立重度知的障害者総合施設のぞみの園財会省令第十条の二第三項</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Heading6"/>
        <w:ind w:left="880"/>
      </w:pPr>
      <w:r>
        <w:t>一及び二</w:t>
      </w:r>
    </w:p>
    <w:p>
      <w:pPr>
        <w:ind w:left="880"/>
      </w:pPr>
      <w:r>
        <w:t>略</w:t>
      </w:r>
    </w:p>
    <w:p>
      <w:pPr>
        <w:pStyle w:val="Heading6"/>
        <w:ind w:left="880"/>
      </w:pPr>
      <w:r>
        <w:t>三</w:t>
      </w:r>
    </w:p>
    <w:p>
      <w:pPr>
        <w:ind w:left="880"/>
      </w:pPr>
      <w:r>
        <w:t>第三条の規定による改正後の独立行政法人国立重度知的障害者総合施設のぞみの園の業務運営、財務及び会計並びに人事管理に関する省令第十条及び第十条の二第二項</w:t>
      </w:r>
    </w:p>
    <w:p>
      <w:r>
        <w:br w:type="page"/>
      </w:r>
    </w:p>
    <w:p>
      <w:pPr>
        <w:pStyle w:val="Heading1"/>
      </w:pPr>
      <w:r>
        <w:t>附　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独立行政法人国立重度知的障害者総合施設のぞみの園の業務運営、財務及び会計並びに人事管理に関する省令</w:t>
      <w:br/>
      <w:tab/>
      <w:t>（平成十五年厚生労働省令第百四十九号）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独立行政法人国立重度知的障害者総合施設のぞみの園の業務運営、財務及び会計並びに人事管理に関する省令（平成十五年厚生労働省令第百四十九号）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