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独立行政法人国立青少年教育振興機構に関する省令</w:t>
        <w:br/>
        <w:t>（平成十三年文部科学省令第三十号）</w:t>
      </w:r>
    </w:p>
    <w:p>
      <w:pPr>
        <w:pStyle w:val="Heading4"/>
      </w:pPr>
      <w:r>
        <w:t>第一条（通則法第八条第三項に規定する主務省令で定める重要な財産）</w:t>
      </w:r>
    </w:p>
    <w:p>
      <w:r>
        <w:t>独立行政法人国立青少年教育振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国立青少年教育振興機構法（平成十一年法律第百六十七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機構法第十一条第一項第一号に規定する施設の設置に関する事項</w:t>
      </w:r>
    </w:p>
    <w:p>
      <w:pPr>
        <w:pStyle w:val="ListBullet"/>
        <w:ind w:left="880"/>
      </w:pPr>
      <w:r>
        <w:t>二</w:t>
        <w:br/>
        <w:t>機構法第十一条第一項第二号に規定する研修に関する事項</w:t>
      </w:r>
    </w:p>
    <w:p>
      <w:pPr>
        <w:pStyle w:val="ListBullet"/>
        <w:ind w:left="880"/>
      </w:pPr>
      <w:r>
        <w:t>三</w:t>
        <w:br/>
        <w:t>機構法第十一条第一項第三号に規定する施設の供用に関する事項</w:t>
      </w:r>
    </w:p>
    <w:p>
      <w:pPr>
        <w:pStyle w:val="ListBullet"/>
        <w:ind w:left="880"/>
      </w:pPr>
      <w:r>
        <w:t>四</w:t>
        <w:br/>
        <w:t>機構法第十一条第一項第四号に規定する指導及び助言に関する事項</w:t>
      </w:r>
    </w:p>
    <w:p>
      <w:pPr>
        <w:pStyle w:val="ListBullet"/>
        <w:ind w:left="880"/>
      </w:pPr>
      <w:r>
        <w:t>五</w:t>
        <w:br/>
        <w:t>機構法第十一条第一項第五号に規定する連絡及び協力の促進に関する事項</w:t>
      </w:r>
    </w:p>
    <w:p>
      <w:pPr>
        <w:pStyle w:val="ListBullet"/>
        <w:ind w:left="880"/>
      </w:pPr>
      <w:r>
        <w:t>六</w:t>
        <w:br/>
        <w:t>機構法第十一条第一項第六号に規定する調査及び研究に関する事項</w:t>
      </w:r>
    </w:p>
    <w:p>
      <w:pPr>
        <w:pStyle w:val="ListBullet"/>
        <w:ind w:left="880"/>
      </w:pPr>
      <w:r>
        <w:t>七</w:t>
        <w:br/>
        <w:t>機構法第十一条第一項第七号に規定する助成金の交付に関する事項</w:t>
      </w:r>
    </w:p>
    <w:p>
      <w:pPr>
        <w:pStyle w:val="ListBullet"/>
        <w:ind w:left="880"/>
      </w:pPr>
      <w:r>
        <w:t>八</w:t>
        <w:br/>
        <w:t>機構法第十一条第二項に規定する施設の供用に関する事項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中期目標期間を超える債務負担</w:t>
      </w:r>
    </w:p>
    <w:p>
      <w:pPr>
        <w:pStyle w:val="ListBullet"/>
        <w:ind w:left="880"/>
      </w:pPr>
      <w:r>
        <w:t>四</w:t>
        <w:b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第十五条（経理方法）</w:t>
      </w:r>
    </w:p>
    <w:p>
      <w:r>
        <w:t>機構の予算及び決算に関する経理については、機構法第十三条第一項に規定する助成業務に係る経理とその他の経理とを区分して整理しなければならない。</w:t>
      </w:r>
    </w:p>
    <w:p>
      <w:pPr>
        <w:pStyle w:val="Heading4"/>
      </w:pPr>
      <w:r>
        <w:t>第十五条の二（通則法第五十条の六第一号に規定する主務省令で定める内部組織）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第十五条の三（通則法第五十条の六第二号に規定する主務省令で定める管理又は監督の地位）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第十六条（積立金の処分に係る申請書の添付書類）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センターの成立の際センター法附則第五条第二項の規定によりセンターに出資されたものとされる財産のうち償却資産については、第九条第一項の指定があったものとみなす。</w:t>
      </w:r>
    </w:p>
    <w:p>
      <w:r>
        <w:br w:type="page"/>
      </w:r>
    </w:p>
    <w:p>
      <w:pPr>
        <w:pStyle w:val="Heading1"/>
      </w:pPr>
      <w:r>
        <w:t>附則（平成一三年四月一九日文部科学省令第六六号）</w:t>
      </w:r>
    </w:p>
    <w:p>
      <w:r>
        <w:t>この省令は、公布の日から施行する。</w:t>
        <w:br/>
        <w:t>ただし、この省令による改正後の独立行政法人国立オリンピック記念青少年総合センターに関する省令第一条の規定は、平成十三年四月十一日から適用する。</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w:t>
        <w:br/>
        <w:t>略</w:t>
      </w:r>
    </w:p>
    <w:p>
      <w:pPr>
        <w:pStyle w:val="ListBullet"/>
        <w:ind w:left="880"/>
      </w:pPr>
      <w:r>
        <w:t>二</w:t>
        <w:br/>
        <w:t>略</w:t>
      </w:r>
    </w:p>
    <w:p>
      <w:pPr>
        <w:pStyle w:val="ListBullet"/>
        <w:ind w:left="880"/>
      </w:pPr>
      <w:r>
        <w:t>三</w:t>
        <w:br/>
        <w:t>独立行政法人国立青少年教育振興機構に関する省令第五条第一項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独立行政法人国立青少年教育振興機構に関する省令第十条の二第三項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独立行政法人国立青少年教育振興機構に関する省令</w:t>
      <w:br/>
      <w:tab/>
      <w:t>（平成十三年文部科学省令第三十号）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独立行政法人国立青少年教育振興機構に関する省令（平成十三年文部科学省令第三十号）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