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独立行政法人国際観光振興機構法</w:t>
        <w:br/>
        <w:t>（平成十四年法律第百八十一号）</w:t>
      </w:r>
    </w:p>
    <w:p>
      <w:pPr>
        <w:pStyle w:val="Heading2"/>
      </w:pPr>
      <w:r>
        <w:t>第一章　総則</w:t>
      </w:r>
    </w:p>
    <w:p>
      <w:pPr>
        <w:pStyle w:val="Heading4"/>
      </w:pPr>
      <w:r>
        <w:t>第一条（目的）</w:t>
      </w:r>
    </w:p>
    <w:p>
      <w:r>
        <w:t>この法律は、独立行政法人国際観光振興機構の名称、目的、業務の範囲等に関する事項を定めることを目的とする。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際観光振興機構とする。</w:t>
      </w:r>
    </w:p>
    <w:p>
      <w:pPr>
        <w:pStyle w:val="Heading4"/>
      </w:pPr>
      <w:r>
        <w:t>第三条（機構の目的）</w:t>
      </w:r>
    </w:p>
    <w:p>
      <w:r>
        <w:t>独立行政法人国際観光振興機構（以下「機構」という。）は、海外における観光宣伝、外国人観光旅客に対する観光案内その他外国人観光旅客の来訪の促進に必要な業務を効率的に行うことにより、国際観光の振興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2"/>
      </w:pPr>
      <w:r>
        <w:t>第三章　業務等</w:t>
      </w:r>
    </w:p>
    <w:p>
      <w:pPr>
        <w:pStyle w:val="Heading4"/>
      </w:pPr>
      <w:r>
        <w:t>第九条（業務の範囲）</w:t>
      </w:r>
    </w:p>
    <w:p>
      <w:r>
        <w:t>機構は、第三条の目的を達成するため、次の業務を行う。</w:t>
      </w:r>
    </w:p>
    <w:p>
      <w:pPr>
        <w:pStyle w:val="ListBullet"/>
        <w:ind w:left="880"/>
      </w:pPr>
      <w:r>
        <w:t>一</w:t>
        <w:br/>
        <w:t>外国人観光旅客の来訪を促進するための宣伝を行うこと。</w:t>
      </w:r>
    </w:p>
    <w:p>
      <w:pPr>
        <w:pStyle w:val="ListBullet"/>
        <w:ind w:left="880"/>
      </w:pPr>
      <w:r>
        <w:t>二</w:t>
        <w:br/>
        <w:t>外国人観光旅客に対する観光案内所の運営を行うこと。</w:t>
      </w:r>
    </w:p>
    <w:p>
      <w:pPr>
        <w:pStyle w:val="ListBullet"/>
        <w:ind w:left="880"/>
      </w:pPr>
      <w:r>
        <w:t>三</w:t>
        <w:br/>
        <w:t>通訳案内士法（昭和二十四年法律第二百十号）第十一条第一項の規定により全国通訳案内士試験の実施に関する事務を行うこと。</w:t>
      </w:r>
    </w:p>
    <w:p>
      <w:pPr>
        <w:pStyle w:val="ListBullet"/>
        <w:ind w:left="880"/>
      </w:pPr>
      <w:r>
        <w:t>四</w:t>
        <w:br/>
        <w:t>国際観光に関する調査及び研究を行うこと。</w:t>
      </w:r>
    </w:p>
    <w:p>
      <w:pPr>
        <w:pStyle w:val="ListBullet"/>
        <w:ind w:left="880"/>
      </w:pPr>
      <w:r>
        <w:t>五</w:t>
        <w:br/>
        <w:t>国際観光に関する出版物の刊行を行うこと。</w:t>
      </w:r>
    </w:p>
    <w:p>
      <w:pPr>
        <w:pStyle w:val="ListBullet"/>
        <w:ind w:left="880"/>
      </w:pPr>
      <w:r>
        <w:t>六</w:t>
        <w:br/>
        <w:t>前各号の業務に附帯する業務を行うこと。</w:t>
      </w:r>
    </w:p>
    <w:p>
      <w:pPr>
        <w:pStyle w:val="ListBullet"/>
        <w:ind w:left="880"/>
      </w:pPr>
      <w:r>
        <w:t>七</w:t>
        <w:br/>
        <w:t>国際会議等の誘致の促進及び開催の円滑化等による国際観光の振興に関する法律（平成六年法律第七十九号）第十一条に規定する業務を行うこと。</w:t>
      </w:r>
    </w:p>
    <w:p>
      <w:pPr>
        <w:pStyle w:val="Heading4"/>
      </w:pPr>
      <w:r>
        <w:t>第十条（区分経理）</w:t>
      </w:r>
    </w:p>
    <w:p>
      <w:r>
        <w:t>機構は、次に掲げる業務ごとに経理を区分し、それぞれ勘定を設けて整理しなければならない。</w:t>
      </w:r>
    </w:p>
    <w:p>
      <w:pPr>
        <w:pStyle w:val="ListBullet"/>
        <w:ind w:left="880"/>
      </w:pPr>
      <w:r>
        <w:t>一</w:t>
        <w:br/>
        <w:t>前条各号の業務（外国人観光旅客の来訪の促進等による国際観光の振興に関する法律（平成九年法律第九十一号）第十二条の規定により国際観光旅客税の収入見込額に相当する金額を当該業務に必要な費用に充てるものに限り、次号に掲げるものを除く。）</w:t>
      </w:r>
    </w:p>
    <w:p>
      <w:pPr>
        <w:pStyle w:val="ListBullet"/>
        <w:ind w:left="880"/>
      </w:pPr>
      <w:r>
        <w:t>二</w:t>
        <w:br/>
        <w:t>前条第七号の業務（国際会議等の誘致の促進及び開催の円滑化等による国際観光の振興に関する法律第二条に規定する国際会議等の開催についての寄附金の募集及び管理並びに交付金の交付に係るものに限る。）及びこれに附帯する業務</w:t>
      </w:r>
    </w:p>
    <w:p>
      <w:pPr>
        <w:pStyle w:val="ListBullet"/>
        <w:ind w:left="880"/>
      </w:pPr>
      <w:r>
        <w:t>三</w:t>
        <w:br/>
        <w:t>前二号に掲げる業務以外の業務</w:t>
      </w:r>
    </w:p>
    <w:p>
      <w:pPr>
        <w:pStyle w:val="Heading4"/>
      </w:pPr>
      <w:r>
        <w:t>第十一条（利益及び損失の処理の特例等）</w:t>
      </w:r>
    </w:p>
    <w:p>
      <w:r>
        <w:t>機構は、通則法第二十九条第二項第一号に規定する中期目標の期間（以下この項及び第四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機構は、前条第二号に掲げる業務に係る勘定（以下「交付金勘定」という。）以外の勘定において、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機構は、交付金勘定において、第一項に規定する積立金の額に相当する金額から同項の規定による承認を受けた金額を控除してなお残余があるときは、その残余の額を当該中期目標の期間の次の中期目標の期間における同項に規定する積立金として整理し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2"/>
      </w:pPr>
      <w:r>
        <w:t>第四章　雑則</w:t>
      </w:r>
    </w:p>
    <w:p>
      <w:pPr>
        <w:pStyle w:val="Heading4"/>
      </w:pPr>
      <w:r>
        <w:t>第十二条（主務大臣等）</w:t>
      </w:r>
    </w:p>
    <w:p>
      <w:r>
        <w:t>機構に係る通則法における主務大臣及び主務省令は、それぞれ国土交通大臣及び国土交通省令とする。</w:t>
      </w:r>
    </w:p>
    <w:p>
      <w:pPr>
        <w:pStyle w:val="Heading4"/>
      </w:pPr>
      <w:r>
        <w:t>第十三条（国家公務員宿舎法の適用除外）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第十四条</w:t>
      </w:r>
    </w:p>
    <w:p>
      <w:r>
        <w:t>機構の役員又は職員が、その職務に関して、賄賂ろ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前項の場合において、犯人が収受した賄賂ろ</w:t>
        <w:br/>
        <w:t>は、没収する。</w:t>
        <w:br/>
        <w:t>その全部又は一部を没収することができないときは、その価額を追徴する。</w:t>
      </w:r>
    </w:p>
    <w:p>
      <w:pPr>
        <w:pStyle w:val="Heading4"/>
      </w:pPr>
      <w:r>
        <w:t>第十五条</w:t>
      </w:r>
    </w:p>
    <w:p>
      <w:r>
        <w:t>前条第一項の賄賂ろ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第十六条</w:t>
      </w:r>
    </w:p>
    <w:p>
      <w:r>
        <w:t>次の各号のいずれかに該当する場合には、その違反行為をした機構の役員は、二十万円以下の過料に処する。</w:t>
      </w:r>
    </w:p>
    <w:p>
      <w:pPr>
        <w:pStyle w:val="ListBullet"/>
        <w:ind w:left="880"/>
      </w:pPr>
      <w:r>
        <w:t>一</w:t>
        <w:br/>
        <w:t>第九条に規定する業務以外の業務を行ったとき。</w:t>
      </w:r>
    </w:p>
    <w:p>
      <w:pPr>
        <w:pStyle w:val="ListBullet"/>
        <w:ind w:left="880"/>
      </w:pPr>
      <w:r>
        <w:t>二</w:t>
        <w:br/>
        <w:t>第十一条第一項の規定により国土交通大臣の承認を受けなければならない場合において、その承認を受けなかったとき。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この法律は、平成十五年十月一日から施行する。</w:t>
        <w:br/>
        <w:t>ただし、第十一条、次条及び附則第六条の規定は、同年七月一日から施行する。</w:t>
      </w:r>
    </w:p>
    <w:p>
      <w:pPr>
        <w:pStyle w:val="Heading4"/>
      </w:pPr>
      <w:r>
        <w:t>第二条（国際観光振興会の解散等）</w:t>
      </w:r>
    </w:p>
    <w:p>
      <w:r>
        <w:t>国際観光振興会（以下「振興会」という。）は、機構の成立の時において解散するものとし、その一切の権利及び義務は、次項の規定により国が承継する資産を除き、その時において機構が承継する。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機構の成立の際現に振興会が有する権利のうち、機構がその業務を確実に実施するために必要な資産以外の資産は、機構の成立の時において国が承継する。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振興会の解散の日の前日を含む事業年度は、その日に終わるものとする。</w:t>
      </w:r>
    </w:p>
    <w:p>
      <w:pPr>
        <w:pStyle w:val="Heading5"/>
        <w:ind w:left="440"/>
      </w:pPr>
      <w:r>
        <w:t>５</w:t>
      </w:r>
    </w:p>
    <w:p>
      <w:pPr>
        <w:ind w:left="440"/>
      </w:pPr>
      <w:r>
        <w:t>振興会の解散の日の前日を含む事業年度に係る決算並びに財産目録、貸借対照表及び損益計算書については、なお従前の例による。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振興会の権利及び義務を承継したときは、その承継の際、機構が承継する資産の価額（交付金勘定に係るものを除く。）から負債の金額（交付金勘定に係るものを除く。）を差し引いた額は、政府から機構に対し出資されたものとする。</w:t>
      </w:r>
    </w:p>
    <w:p>
      <w:pPr>
        <w:pStyle w:val="Heading5"/>
        <w:ind w:left="440"/>
      </w:pPr>
      <w:r>
        <w:t>７</w:t>
      </w:r>
    </w:p>
    <w:p>
      <w:pPr>
        <w:ind w:left="440"/>
      </w:pPr>
      <w:r>
        <w:t>第一項の規定により機構が振興会の権利及び義務を承継したときは、その承継の際、機構が承継する資産の価額（交付金勘定に係るものに限る。）から負債の金額（交付金勘定に係るものに限る。）を差し引いた額は、交付金勘定に属する積立金として整理するものとする。</w:t>
      </w:r>
    </w:p>
    <w:p>
      <w:pPr>
        <w:pStyle w:val="Heading5"/>
        <w:ind w:left="440"/>
      </w:pPr>
      <w:r>
        <w:t>８</w:t>
      </w:r>
    </w:p>
    <w:p>
      <w:pPr>
        <w:ind w:left="440"/>
      </w:pPr>
      <w:r>
        <w:t>前二項の資産の価額は、機構の成立の日現在における時価を基準として評価委員が評価した価額とする。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第一項の規定により振興会が解散した場合における解散の登記については、政令で定める。</w:t>
      </w:r>
    </w:p>
    <w:p>
      <w:pPr>
        <w:pStyle w:val="Heading4"/>
      </w:pPr>
      <w:r>
        <w:t>第三条（国際観光振興会法の廃止）</w:t>
      </w:r>
    </w:p>
    <w:p>
      <w:r>
        <w:t>国際観光振興会法（昭和三十四年法律第三十九号。以下「旧法」という。）は、廃止する。</w:t>
      </w:r>
    </w:p>
    <w:p>
      <w:pPr>
        <w:pStyle w:val="Heading4"/>
      </w:pPr>
      <w:r>
        <w:t>第四条（国際観光振興会法の廃止に伴う経過措置）</w:t>
      </w:r>
    </w:p>
    <w:p>
      <w:r>
        <w:t>旧法（第十三条を除く。）の規定によりした処分、手続その他の行為は、通則法又はこの法律中の相当する規定によりした処分、手続その他の行為とみなす。</w:t>
      </w:r>
    </w:p>
    <w:p>
      <w:pPr>
        <w:pStyle w:val="Heading4"/>
      </w:pPr>
      <w:r>
        <w:t>第五条（罰則の適用に関する経過措置）</w:t>
      </w:r>
    </w:p>
    <w:p>
      <w:r>
        <w:t>この法律の施行前にした行為並びに附則第二条第五項及び第八条の規定によりなお従前の例によることとされる事項に係るこの法律の施行後にした行為に対する罰則の適用については、なお従前の例による。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附則第二条から前条まで及び第八条に定めるもののほか、機構の設立に伴い必要な経過措置その他この法律の施行に関し必要な経過措置は、政令で定める。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附則（平成一七年六月一〇日法律第五四号）</w:t>
      </w:r>
    </w:p>
    <w:p>
      <w:pPr>
        <w:pStyle w:val="Heading4"/>
      </w:pPr>
      <w:r>
        <w:t>第一条（施行期日）</w:t>
      </w:r>
    </w:p>
    <w:p>
      <w:r>
        <w:t>この法律は、平成十八年四月一日から施行する。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附則（平成三〇年四月一八日法律第一五号）</w:t>
      </w:r>
    </w:p>
    <w:p>
      <w:pPr>
        <w:pStyle w:val="Heading4"/>
      </w:pPr>
      <w:r>
        <w:t>第一条（施行期日）</w:t>
      </w:r>
    </w:p>
    <w:p>
      <w:r>
        <w:t>この法律は、公布の日から施行する。</w:t>
      </w:r>
    </w:p>
    <w:p>
      <w:pPr>
        <w:pStyle w:val="Heading4"/>
      </w:pPr>
      <w:r>
        <w:t>第六条（政令への委任）</w:t>
      </w:r>
    </w:p>
    <w:p>
      <w:r>
        <w:t>附則第二条に定めるもののほか、この法律の施行に関し必要な経過措置は、政令で定める。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独立行政法人国際観光振興機構法</w:t>
      <w:br/>
      <w:tab/>
      <w:t>（平成十四年法律第百八十一号）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独立行政法人国際観光振興機構法（平成十四年法律第百八十一号）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