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独立行政法人家畜改良センターの業務運営、財務及び会計並びに人事管理に関する省令</w:t>
        <w:br/>
        <w:t>（平成十三年農林水産省令第三十五号）</w:t>
      </w:r>
    </w:p>
    <w:p>
      <w:pPr>
        <w:pStyle w:val="Heading4"/>
      </w:pPr>
      <w:r>
        <w:t>第一条（通則法第八条第三項の主務省令で定める重要な財産）</w:t>
      </w:r>
    </w:p>
    <w:p>
      <w:r>
        <w:t>独立行政法人家畜改良センター（以下「センター」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センターに係る通則法第十九条第四項の規定による監査報告の作成については、この条の定めるところによる。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センターの役員及び職員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センターの業務が、法令等に従って適正に実施されているかどうか及び中期目標の着実な達成に向け効果的かつ効率的に実施されているかどうかについての意見</w:t>
      </w:r>
    </w:p>
    <w:p>
      <w:pPr>
        <w:pStyle w:val="ListBullet"/>
        <w:ind w:left="880"/>
      </w:pPr>
      <w:r>
        <w:t>三</w:t>
        <w:br/>
        <w:t>センターの役員の職務の執行が法令等に適合することを確保するための体制その他センターの業務の適正を確保するための体制の整備及び運用についての意見</w:t>
      </w:r>
    </w:p>
    <w:p>
      <w:pPr>
        <w:pStyle w:val="ListBullet"/>
        <w:ind w:left="880"/>
      </w:pPr>
      <w:r>
        <w:t>四</w:t>
        <w:br/>
        <w:t>センターの役員の職務の遂行に関し、不正の行為又は法令等に違反する重大な事実があったときは、その事実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センターに係る通則法第十九条第六項第二号の主務省令で定める書類は、独立行政法人家畜改良センター法（平成十一年法律第百八十五号。以下「センター法」という。）の規定に基づき農林水産大臣に提出する書類とする。</w:t>
      </w:r>
    </w:p>
    <w:p>
      <w:pPr>
        <w:pStyle w:val="Heading4"/>
      </w:pPr>
      <w:r>
        <w:t>第四条（業務方法書の記載事項）</w:t>
      </w:r>
    </w:p>
    <w:p>
      <w:r>
        <w:t>センターに係る通則法第二十八条第二項の主務省令で定める業務方法書に記載すべき事項は、次のとおりとする。</w:t>
      </w:r>
    </w:p>
    <w:p>
      <w:pPr>
        <w:pStyle w:val="ListBullet"/>
        <w:ind w:left="880"/>
      </w:pPr>
      <w:r>
        <w:t>一</w:t>
        <w:br/>
        <w:t>センター法第十一条第一項第一号に規定するもののうち家畜及び家きんの改良及び増殖並びに飼養管理の改善に関する事項</w:t>
      </w:r>
    </w:p>
    <w:p>
      <w:pPr>
        <w:pStyle w:val="ListBullet"/>
        <w:ind w:left="880"/>
      </w:pPr>
      <w:r>
        <w:t>二</w:t>
        <w:br/>
        <w:t>センター法第十一条第一項第二号に規定するもののうち種畜、種きん、種卵、家畜人工授精用精液及び家畜受精卵の配布並びに種畜の貸付けに関する事項</w:t>
      </w:r>
    </w:p>
    <w:p>
      <w:pPr>
        <w:pStyle w:val="ListBullet"/>
        <w:ind w:left="880"/>
      </w:pPr>
      <w:r>
        <w:t>三</w:t>
        <w:br/>
        <w:t>センター法第十一条第一項第三号に規定する種苗の生産及び配布に関する事項</w:t>
      </w:r>
    </w:p>
    <w:p>
      <w:pPr>
        <w:pStyle w:val="ListBullet"/>
        <w:ind w:left="880"/>
      </w:pPr>
      <w:r>
        <w:t>四</w:t>
        <w:br/>
        <w:t>センター法第十一条第一項第四号に規定する種苗の検査に関する事項</w:t>
      </w:r>
    </w:p>
    <w:p>
      <w:pPr>
        <w:pStyle w:val="ListBullet"/>
        <w:ind w:left="880"/>
      </w:pPr>
      <w:r>
        <w:t>五</w:t>
        <w:br/>
        <w:t>センター法第十一条第一項第五号に規定する調査及び研究、講習並びに指導に関する事項</w:t>
      </w:r>
    </w:p>
    <w:p>
      <w:pPr>
        <w:pStyle w:val="ListBullet"/>
        <w:ind w:left="880"/>
      </w:pPr>
      <w:r>
        <w:t>六</w:t>
        <w:br/>
        <w:t>センター法第十一条第二項第一号に規定する立入り、質問、検査及び収去に関する事項</w:t>
      </w:r>
    </w:p>
    <w:p>
      <w:pPr>
        <w:pStyle w:val="ListBullet"/>
        <w:ind w:left="880"/>
      </w:pPr>
      <w:r>
        <w:t>七</w:t>
        <w:br/>
        <w:t>センター法第十一条第二項第二号に規定する集取に関する事項</w:t>
      </w:r>
    </w:p>
    <w:p>
      <w:pPr>
        <w:pStyle w:val="ListBullet"/>
        <w:ind w:left="880"/>
      </w:pPr>
      <w:r>
        <w:t>八</w:t>
        <w:br/>
        <w:t>センター法第十一条第二項第三号に規定する立入り、質問、検査及び収去に関する事項</w:t>
      </w:r>
    </w:p>
    <w:p>
      <w:pPr>
        <w:pStyle w:val="ListBullet"/>
        <w:ind w:left="880"/>
      </w:pPr>
      <w:r>
        <w:t>九</w:t>
        <w:br/>
        <w:t>センター法第十一条第二項第四号に規定する牛の個体識別のための情報の管理及び伝達に関する特別措置法（平成十五年法律第七十二号）第二十条の政令で定める事務に関する事項</w:t>
      </w:r>
    </w:p>
    <w:p>
      <w:pPr>
        <w:pStyle w:val="ListBullet"/>
        <w:ind w:left="880"/>
      </w:pPr>
      <w:r>
        <w:t>十</w:t>
        <w:br/>
        <w:t>業務委託の基準</w:t>
      </w:r>
    </w:p>
    <w:p>
      <w:pPr>
        <w:pStyle w:val="ListBullet"/>
        <w:ind w:left="880"/>
      </w:pPr>
      <w:r>
        <w:t>十一</w:t>
        <w:br/>
        <w:t>競争入札その他契約に関する基本的事項</w:t>
      </w:r>
    </w:p>
    <w:p>
      <w:pPr>
        <w:pStyle w:val="ListBullet"/>
        <w:ind w:left="880"/>
      </w:pPr>
      <w:r>
        <w:t>十二</w:t>
        <w:br/>
        <w:t>その他センターの業務の執行に関して必要な事項</w:t>
      </w:r>
    </w:p>
    <w:p>
      <w:pPr>
        <w:pStyle w:val="Heading4"/>
      </w:pPr>
      <w:r>
        <w:t>第五条（中期計画の認可の申請）</w:t>
      </w:r>
    </w:p>
    <w:p>
      <w:r>
        <w:t>センターは、通則法第三十条第一項の規定により中期計画の認可を受けようとするときは、中期計画を記載した申請書を、当該中期計画の最初の事業年度開始の日の三十日前までに、農林水産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センターは、通則法第三十条第一項後段の規定により中期計画の変更の認可を受けようとするときは、変更しようとする事項及びその理由を記載した申請書を農林水産大臣に提出しなければならない。</w:t>
      </w:r>
    </w:p>
    <w:p>
      <w:pPr>
        <w:pStyle w:val="Heading4"/>
      </w:pPr>
      <w:r>
        <w:t>第六条（中期計画に定めるべき業務運営に関する事項）</w:t>
      </w:r>
    </w:p>
    <w:p>
      <w:r>
        <w:t>センターに係る通則法第三十条第二項第八号の主務省令で定める業務運営に関する事項は、次のとおりとする。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積立金の処分に関する事項</w:t>
      </w:r>
    </w:p>
    <w:p>
      <w:pPr>
        <w:pStyle w:val="ListBullet"/>
        <w:ind w:left="880"/>
      </w:pPr>
      <w:r>
        <w:t>四</w:t>
        <w:br/>
        <w:t>その他当該中期目標を達成するために必要な事項</w:t>
      </w:r>
    </w:p>
    <w:p>
      <w:pPr>
        <w:pStyle w:val="Heading4"/>
      </w:pPr>
      <w:r>
        <w:t>第七条（年度計画に定めるべき事項等）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センターは、通則法第三十一条第一項後段の規定により年度計画を変更したときは、変更した事項及びその理由を記載した届出書を農林水産大臣に提出しなければならない。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センターに係る通則法第三十二条第二項の報告書には、当該報告書が次の表の上欄に掲げる報告書のいずれに該当するかに応じ、同表の下欄に掲げる事項を記載しなければならない。</w:t>
        <w:br/>
        <w:t>その際、センターは、当該報告書が同条第一項の評価の根拠となる情報を提供するために作成されるものであることに留意しつつ、センターの事務及び事業の性質、内容等に応じて区分して同欄に掲げる事項を記載するものとする。</w:t>
      </w:r>
    </w:p>
    <w:p>
      <w:pPr>
        <w:pStyle w:val="Heading5"/>
        <w:ind w:left="440"/>
      </w:pPr>
      <w:r>
        <w:t>２</w:t>
      </w:r>
    </w:p>
    <w:p>
      <w:pPr>
        <w:ind w:left="440"/>
      </w:pPr>
      <w:r>
        <w:t>センターに係る通則法第三十二条第二項の規定による公表は、同項の規定による報告書の提出後、速やかに、インターネットの利用その他の適切な方法により行うものとする。</w:t>
      </w:r>
    </w:p>
    <w:p>
      <w:pPr>
        <w:pStyle w:val="Heading4"/>
      </w:pPr>
      <w:r>
        <w:t>第九条（企業会計原則）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第十条（償却資産の指定等）</w:t>
      </w:r>
    </w:p>
    <w:p>
      <w:r>
        <w:t>農林水産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第十一条（譲渡差額を損益計算上の損益に計上しない譲渡取引）</w:t>
      </w:r>
    </w:p>
    <w:p>
      <w:r>
        <w:t>農林水産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第十二条（対応する収益の獲得が予定されない資産除去債務に係る除去費用等）</w:t>
      </w:r>
    </w:p>
    <w:p>
      <w:r>
        <w:t>農林水産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第十四条（事業報告書の作成）</w:t>
      </w:r>
    </w:p>
    <w:p>
      <w:r>
        <w:t>センターに係る通則法第三十八条第二項の規定による事業報告書の作成については、この条の定めるところによる。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センターの目的及び業務内容</w:t>
      </w:r>
    </w:p>
    <w:p>
      <w:pPr>
        <w:pStyle w:val="ListBullet"/>
        <w:ind w:left="880"/>
      </w:pPr>
      <w:r>
        <w:t>二</w:t>
        <w:br/>
        <w:t>国の政策におけるセンターの位置付け及び役割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センターに関する基礎的な情報</w:t>
      </w:r>
    </w:p>
    <w:p>
      <w:pPr>
        <w:pStyle w:val="Heading4"/>
      </w:pPr>
      <w:r>
        <w:t>第十五条（財務諸表等の閲覧期間）</w:t>
      </w:r>
    </w:p>
    <w:p>
      <w:r>
        <w:t>センターに係る通則法第三十八条第三項の主務省令で定める期間は、五年とする。</w:t>
      </w:r>
    </w:p>
    <w:p>
      <w:pPr>
        <w:pStyle w:val="Heading4"/>
      </w:pPr>
      <w:r>
        <w:t>第十六条（会計監査報告の作成）</w:t>
      </w:r>
    </w:p>
    <w:p>
      <w:r>
        <w:t>センターに係る通則法第三十九条第一項の規定による監査報告書の作成については、この条の定めるところによる。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センターの役員（監事を除く。）及び職員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第十八条（通則法第四十八条の主務省令で定める重要な財産）</w:t>
      </w:r>
    </w:p>
    <w:p>
      <w:r>
        <w:t>センターに係る通則法第四十八条の主務省令で定める重要な財産は、土地及び建物とする。</w:t>
      </w:r>
    </w:p>
    <w:p>
      <w:pPr>
        <w:pStyle w:val="Heading4"/>
      </w:pPr>
      <w:r>
        <w:t>第十九条（通則法第四十八条の主務省令で定める重要な財産の処分等の認可の申請）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センターの業務運営上支障がない旨及びその理由</w:t>
      </w:r>
    </w:p>
    <w:p>
      <w:pPr>
        <w:pStyle w:val="Heading4"/>
      </w:pPr>
      <w:r>
        <w:t>第二十条（積立金の処分に係る承認申請書の添付書類）</w:t>
      </w:r>
    </w:p>
    <w:p>
      <w:r>
        <w:t>センターに係る独立行政法人の組織、運営及び管理に係る共通的な事項に関する政令第二十一条第二項の農林水産省令で定める書類は、同条第一項に規定する期間最後の事業年度の事業年度末の貸借対照表及び当該事業年度の損益計算書とする。</w:t>
      </w:r>
    </w:p>
    <w:p>
      <w:pPr>
        <w:pStyle w:val="Heading4"/>
      </w:pPr>
      <w:r>
        <w:t>第二十一条（内部組織）</w:t>
      </w:r>
    </w:p>
    <w:p>
      <w:r>
        <w:t>センターに係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センター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pPr>
        <w:pStyle w:val="Heading5"/>
        <w:ind w:left="440"/>
      </w:pPr>
      <w:r>
        <w:t>１</w:t>
      </w:r>
    </w:p>
    <w:p>
      <w:pPr>
        <w:ind w:left="440"/>
      </w:pPr>
      <w:r>
        <w:t>この省令は、公布の日から施行する。</w:t>
        <w:br/>
        <w:t>ただし、第一条第六号及び第七号の規定は、平成十三年四月一日から施行する。</w:t>
      </w:r>
    </w:p>
    <w:p>
      <w:pPr>
        <w:pStyle w:val="Heading5"/>
        <w:ind w:left="440"/>
      </w:pPr>
      <w:r>
        <w:t>２</w:t>
      </w:r>
    </w:p>
    <w:p>
      <w:pPr>
        <w:ind w:left="440"/>
      </w:pPr>
      <w:r>
        <w:t>センターの設立の際センター法附則第五条第二項の規定により政府から出資があったものとされる同項の財産のうち建物（その建物に附属する工作物を含む。）及び工作物については、第九条第一項の指定を受けたものとみなして、同条第二項の規定を適用する。</w:t>
      </w:r>
    </w:p>
    <w:p>
      <w:pPr>
        <w:pStyle w:val="Heading5"/>
        <w:ind w:left="440"/>
      </w:pPr>
      <w:r>
        <w:t>３</w:t>
      </w:r>
    </w:p>
    <w:p>
      <w:pPr>
        <w:ind w:left="440"/>
      </w:pPr>
      <w:r>
        <w:t>センター法附則第五条第三項の規定による評価に関する庶務は、農林水産省生産局畜産部畜産技術課において処理する。</w:t>
      </w:r>
    </w:p>
    <w:p>
      <w:r>
        <w:br w:type="page"/>
      </w:r>
    </w:p>
    <w:p>
      <w:pPr>
        <w:pStyle w:val="Heading1"/>
      </w:pPr>
      <w:r>
        <w:t>附則（平成一五年七月二日農林水産省令第七二号）</w:t>
      </w:r>
    </w:p>
    <w:p>
      <w:pPr>
        <w:pStyle w:val="Heading4"/>
      </w:pPr>
      <w:r>
        <w:t>第一条（施行期日）</w:t>
      </w:r>
    </w:p>
    <w:p>
      <w:r>
        <w:t>この省令は、法の施行の日（平成十五年十二月一日）から施行する。</w:t>
      </w:r>
    </w:p>
    <w:p>
      <w:r>
        <w:br w:type="page"/>
      </w:r>
    </w:p>
    <w:p>
      <w:pPr>
        <w:pStyle w:val="Heading1"/>
      </w:pPr>
      <w:r>
        <w:t>附則（平成一六年一月二二日農林水産省令第六号）</w:t>
      </w:r>
    </w:p>
    <w:p>
      <w:r>
        <w:t>この省令は、遺伝子組換え生物等の使用等の規制による生物の多様性の確保に関する法律の施行の日から施行する。</w:t>
      </w:r>
    </w:p>
    <w:p>
      <w:r>
        <w:br w:type="page"/>
      </w:r>
    </w:p>
    <w:p>
      <w:pPr>
        <w:pStyle w:val="Heading1"/>
      </w:pPr>
      <w:r>
        <w:t>附則（平成一八年三月三一日農林水産省令第三〇号）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附則（平成一九年三月二六日農林水産省令第一三号）</w:t>
      </w:r>
    </w:p>
    <w:p>
      <w:r>
        <w:t>この省令は、公布の日から施行する。</w:t>
      </w:r>
    </w:p>
    <w:p>
      <w:r>
        <w:br w:type="page"/>
      </w:r>
    </w:p>
    <w:p>
      <w:pPr>
        <w:pStyle w:val="Heading1"/>
      </w:pPr>
      <w:r>
        <w:t>附則（平成二〇年一〇月一六日農林水産省令第六七号）</w:t>
      </w:r>
    </w:p>
    <w:p>
      <w:r>
        <w:t>この省令は、公布の日から施行する。</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附則（平成二七年三月二七日農林水産省令第二一号）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家畜改良センターの業務運営、財務及び会計並びに人事管理に関する省令（次条において「新省令」という。）第八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pPr>
        <w:pStyle w:val="Heading4"/>
      </w:pPr>
      <w:r>
        <w:t>第三条（事業報告書の作成に関する経過措置）</w:t>
      </w:r>
    </w:p>
    <w:p>
      <w:r>
        <w:t>新省令第十四条第三項の規定は、この省令の施行の日以後に開始する事業年度に係る事業報告書から適用する。</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二</w:t>
        <w:br/>
        <w:t>独立行政法人家畜改良センターの業務運営、財務及び会計並びに人事管理に関する省令第十三条及び第十四条第二項</w:t>
      </w:r>
    </w:p>
    <w:p>
      <w:r>
        <w:br w:type="page"/>
      </w:r>
    </w:p>
    <w:p>
      <w:pPr>
        <w:pStyle w:val="Heading1"/>
      </w:pPr>
      <w:r>
        <w:t>附則（令和元年五月二七日農林水産省令第五号）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独立行政法人家畜改良センターの業務運営、財務及び会計並びに人事管理に関する省令</w:t>
      <w:br/>
      <w:tab/>
      <w:t>（平成十三年農林水産省令第三十五号）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独立行政法人家畜改良センターの業務運営、財務及び会計並びに人事管理に関する省令（平成十三年農林水産省令第三十五号）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