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独立行政法人平和祈念事業特別基金等に関する法律の廃止等に関する法律の施行に伴う関係政令の整備及び経過措置に関する政令　抄</w:t>
        <w:br/>
        <w:t>（平成二十五年政令第五十一号）</w:t>
      </w:r>
    </w:p>
    <w:p>
      <w:pPr>
        <w:pStyle w:val="Heading2"/>
      </w:pPr>
      <w:r>
        <w:t>第二章　経過措置</w:t>
      </w:r>
    </w:p>
    <w:p>
      <w:pPr>
        <w:pStyle w:val="Heading4"/>
      </w:pPr>
      <w:r>
        <w:t>第九条（独立行政法人平和祈念事業特別基金の解散の登記の嘱託等）</w:t>
      </w:r>
    </w:p>
    <w:p>
      <w:r>
        <w:t>独立行政法人平和祈念事業特別基金等に関する法律の廃止等に関する法律（以下「廃止法」という。）附則第二条第一項の規定により独立行政法人平和祈念事業特別基金（以下「基金」という。）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第十条（総務大臣が事業年度に係る業務の実績の評価を受ける場合の手続）</w:t>
      </w:r>
    </w:p>
    <w:p>
      <w:r>
        <w:t>廃止法附則第二条第三項の規定により総務大臣が基金の解散の日の前日を含む事業年度における業務の実績について評価を受ける場合においては、独立行政法人通則法（平成十一年法律第百三号。次条において「通則法」という。）第三十二条の規定を準用する。</w:t>
      </w:r>
    </w:p>
    <w:p>
      <w:pPr>
        <w:pStyle w:val="Heading4"/>
      </w:pPr>
      <w:r>
        <w:t>第十一条（基金の解散の日の前日を含む中期目標の期間の実績の評価）</w:t>
      </w:r>
    </w:p>
    <w:p>
      <w:r>
        <w:t>基金の解散の日の前日を含む中期目標の期間（通則法第二十九条第二項第一号に規定する中期目標の期間をいう。以下この条において同じ。）は、その解散の日の前日に終わるものとする。</w:t>
      </w:r>
    </w:p>
    <w:p>
      <w:pPr>
        <w:pStyle w:val="Heading5"/>
        <w:ind w:left="440"/>
      </w:pPr>
      <w:r>
        <w:t>２</w:t>
      </w:r>
    </w:p>
    <w:p>
      <w:pPr>
        <w:ind w:left="440"/>
      </w:pPr>
      <w:r>
        <w:t>前項の規定により基金の解散の日の前日に終わるものとされる中期目標の期間における業務の実績については、総務大臣が通則法第三十四条第一項の評価を受けるものとする。</w:t>
      </w:r>
    </w:p>
    <w:p>
      <w:pPr>
        <w:pStyle w:val="Heading5"/>
        <w:ind w:left="440"/>
      </w:pPr>
      <w:r>
        <w:t>３</w:t>
      </w:r>
    </w:p>
    <w:p>
      <w:pPr>
        <w:ind w:left="440"/>
      </w:pPr>
      <w:r>
        <w:t>前項の規定により総務大臣が基金の解散の日の前日に終わるものとされる中期目標の期間における業務の実績の評価を受ける場合においては、通則法第三十三条及び第三十四条の規定を準用する。</w:t>
      </w:r>
    </w:p>
    <w:p>
      <w:pPr>
        <w:pStyle w:val="Heading4"/>
      </w:pPr>
      <w:r>
        <w:t>第十二条（補助金等に係る予算の執行の適正化に関する法律の準用に関する経過措置）</w:t>
      </w:r>
    </w:p>
    <w:p>
      <w:r>
        <w:t>基金が交付した廃止法第一条の規定による廃止前の独立行政法人平和祈念事業特別基金等に関する法律（昭和六十三年法律第六十六号。次条及び附則第二項において「旧基金法」という。）第十四条に規定する助成金については、同条の規定は、なおその効力を有する。</w:t>
      </w:r>
    </w:p>
    <w:p>
      <w:pPr>
        <w:pStyle w:val="Heading4"/>
      </w:pPr>
      <w:r>
        <w:t>第十三条（戦後強制抑留者に対する慰労品の贈呈等に関する経過措置）</w:t>
      </w:r>
    </w:p>
    <w:p>
      <w:r>
        <w:t>廃止法の施行前に旧基金法第二十一条第一項に規定する慰労金（以下この条において「慰労金」という。）に関する処分を受けた者及び廃止法の施行の際現に旧基金法第二十一条第二項の規定により慰労金の請求をしている者に係る慰労金の支給及び慰労品の贈呈に関する旧基金法第三章（第二十条第二項及び第三十一条を除く。）及び附則第二条の規定の適用については、なお従前の例による。</w:t>
      </w:r>
    </w:p>
    <w:p>
      <w:pPr>
        <w:pStyle w:val="Heading4"/>
      </w:pPr>
      <w:r>
        <w:t>第十四条（行政機関の保有する情報の公開に関する法律の適用に関する経過措置）</w:t>
      </w:r>
    </w:p>
    <w:p>
      <w:r>
        <w:t>基金の解散前に独立行政法人等の保有する情報の公開に関する法律（平成十三年法律第百四十号）の規定（同法第二条第二項に規定する法人文書の開示に係る部分に限る。）に基づき基金がした行為及び基金に対してされた行為は、基金の解散後は、行政機関の保有する情報の公開に関する法律（平成十一年法律第四十二号）の規定（同法第二条第二項に規定する行政文書の開示に係る部分に限る。）に基づき総務大臣（同法第十七条の規定により委任を受けた職員を含む。以下この条において同じ。）がした行為及び総務大臣に対してされた行為とみなす。</w:t>
      </w:r>
    </w:p>
    <w:p>
      <w:pPr>
        <w:pStyle w:val="Heading4"/>
      </w:pPr>
      <w:r>
        <w:t>第十五条（行政機関の保有する個人情報の保護に関する法律の適用に関する経過措置）</w:t>
      </w:r>
    </w:p>
    <w:p>
      <w:r>
        <w:t>基金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基金がした行為及び基金に対してされた行為は、基金の解散後は、行政機関の保有する個人情報の保護に関する法律（平成十五年法律第五十八号）の規定（同法第二条第三項に規定する保有個人情報の開示、訂正及び利用停止に係る部分に限る。）に基づき総務大臣（同法第四十六条の規定により委任を受けた職員を含む。以下この条において同じ。）がした行為及び総務大臣に対してされた行為とみなす。</w:t>
      </w:r>
    </w:p>
    <w:p>
      <w:pPr>
        <w:pStyle w:val="Heading4"/>
      </w:pPr>
      <w:r>
        <w:t>第十六条（戦後強制抑留者に係る問題に関する特別措置法の適用に関する経過措置）</w:t>
      </w:r>
    </w:p>
    <w:p>
      <w:r>
        <w:t>廃止法の施行の日以後における戦後強制抑留者に係る問題に関する特別措置法（平成二十二年法律第四十五号）の規定の適用については、同法第三条第一項中「独立行政法人平和祈念事業特別基金（以下「基金」という。）」とあるのは「総務大臣」と、同条第二項及び同法第十条第一項中「基金」とあるのは「総務大臣」とする。</w:t>
      </w:r>
    </w:p>
    <w:p>
      <w:pPr>
        <w:pStyle w:val="Heading5"/>
        <w:ind w:left="440"/>
      </w:pPr>
      <w:r>
        <w:t>２</w:t>
      </w:r>
    </w:p>
    <w:p>
      <w:pPr>
        <w:ind w:left="440"/>
      </w:pPr>
      <w:r>
        <w:t>基金の解散前に戦後強制抑留者に係る問題に関する特別措置法の規定に基づき基金がした行為及び基金に対してされた行為は、基金の解散後は、前項の規定により読み替えて適用される同法の規定に基づき総務大臣がした行為及び総務大臣に対してされた行為とみなす。</w:t>
      </w:r>
    </w:p>
    <w:p>
      <w:r>
        <w:br w:type="page"/>
      </w:r>
    </w:p>
    <w:p>
      <w:pPr>
        <w:pStyle w:val="Heading1"/>
      </w:pPr>
      <w:r>
        <w:t>附　則</w:t>
      </w:r>
    </w:p>
    <w:p>
      <w:r>
        <w:t>この政令は、廃止法の施行の日（平成二十五年四月一日）から施行する。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独立行政法人平和祈念事業特別基金等に関する法律の廃止等に関する法律の施行に伴う関係政令の整備及び経過措置に関する政令　抄</w:t>
      <w:br/>
      <w:tab/>
      <w:t>（平成二十五年政令第五十一号）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独立行政法人平和祈念事業特別基金等に関する法律の廃止等に関する法律の施行に伴う関係政令の整備及び経過措置に関する政令　抄（平成二十五年政令第五十一号）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