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独立行政法人情報処理推進機構の業務運営、財務及び会計並びに人事管理に関する省令</w:t>
        <w:br/>
        <w:t>（令和二年経済産業省令第七十八号）</w:t>
      </w:r>
    </w:p>
    <w:p>
      <w:pPr>
        <w:pStyle w:val="Heading4"/>
      </w:pPr>
      <w:r>
        <w:t>第一条（独立行政法人通則法第八条第三項に規定する主務省令で定める重要な財産）</w:t>
      </w:r>
    </w:p>
    <w:p>
      <w:r>
        <w:t>独立行政法人情報処理推進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以下この条において同じ。）における帳簿価額（現金及び預金にあっては、申請の日におけるその額）が五十万円以上のもの（その性質上通則法第四十六条の二又は第四十六条の三の規定により処分することが不適当なものを除く。）その他経済産業大臣が定める財産とする。</w:t>
      </w:r>
    </w:p>
    <w:p>
      <w:pPr>
        <w:pStyle w:val="Heading4"/>
      </w:pPr>
      <w:r>
        <w:t>第一条の二（監査報告の作成）</w:t>
      </w:r>
    </w:p>
    <w:p>
      <w:r>
        <w:t>機構に係る通則法第十九条第四項に規定する主務省令で定める事項については、この条の定めるところによる。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機構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監事は、その職務の遂行に当たり、必要に応じ、機構の他の監事、機構の子法人の監査役その他これらの者に相当する者との意思疎通及び情報の交換を図るよう努めなければならない。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情報処理の促進に関する法律（以下「法」という。）及び情報処理の促進に関する法律施行令（以下「施行令」という。）の規定に基づき経済産業大臣に提出する書類とする。</w:t>
      </w:r>
    </w:p>
    <w:p>
      <w:pPr>
        <w:pStyle w:val="Heading4"/>
      </w:pPr>
      <w:r>
        <w:t>第一条の四（業務方法書の記載事項）</w:t>
      </w:r>
    </w:p>
    <w:p>
      <w:r>
        <w:t>機構に係る通則法第二十八条第二項に規定する主務省令で定める業務方法書に記載すべき事項は、次のとおりとする。</w:t>
      </w:r>
    </w:p>
    <w:p>
      <w:pPr>
        <w:pStyle w:val="ListBullet"/>
        <w:ind w:left="880"/>
      </w:pPr>
      <w:r>
        <w:t>一</w:t>
        <w:br/>
        <w:t>法第五十一条第一項第一号に規定するプログラムの開発に関する事項</w:t>
      </w:r>
    </w:p>
    <w:p>
      <w:pPr>
        <w:pStyle w:val="ListBullet"/>
        <w:ind w:left="880"/>
      </w:pPr>
      <w:r>
        <w:t>二</w:t>
        <w:br/>
        <w:t>法第五十一条第一項第二号に規定するプログラムの普及に関する事項</w:t>
      </w:r>
    </w:p>
    <w:p>
      <w:pPr>
        <w:pStyle w:val="ListBullet"/>
        <w:ind w:left="880"/>
      </w:pPr>
      <w:r>
        <w:t>三</w:t>
        <w:br/>
        <w:t>法第五十一条第一項第三号及び第四号に規定する債務保証に関する事項</w:t>
      </w:r>
    </w:p>
    <w:p>
      <w:pPr>
        <w:pStyle w:val="ListBullet"/>
        <w:ind w:left="880"/>
      </w:pPr>
      <w:r>
        <w:t>四</w:t>
        <w:br/>
        <w:t>法第五十一条第一項第五号に規定する技術上の評価及び情報処理サービス業を営む者の事業の適正な実施に必要な能力の評価に関する事項</w:t>
      </w:r>
    </w:p>
    <w:p>
      <w:pPr>
        <w:pStyle w:val="ListBullet"/>
        <w:ind w:left="880"/>
      </w:pPr>
      <w:r>
        <w:t>五</w:t>
        <w:br/>
        <w:t>法第五十一条第一項第六号に規定するサイバーセキュリティに関する講習に関する事項</w:t>
      </w:r>
    </w:p>
    <w:p>
      <w:pPr>
        <w:pStyle w:val="ListBullet"/>
        <w:ind w:left="880"/>
      </w:pPr>
      <w:r>
        <w:t>六</w:t>
        <w:br/>
        <w:t>法第五十一条第一項第七号に規定する調査及びその成果の普及に関する事項</w:t>
      </w:r>
    </w:p>
    <w:p>
      <w:pPr>
        <w:pStyle w:val="ListBullet"/>
        <w:ind w:left="880"/>
      </w:pPr>
      <w:r>
        <w:t>七</w:t>
        <w:br/>
        <w:t>法第五十一条第一項第八号に規定する異なる複数の情報システムの連携の仕組み並びに当該連携に係る運用及び管理の方法に関する調査研究並びにその成果の普及その他の当該連携の促進に関する事項</w:t>
      </w:r>
    </w:p>
    <w:p>
      <w:pPr>
        <w:pStyle w:val="ListBullet"/>
        <w:ind w:left="880"/>
      </w:pPr>
      <w:r>
        <w:t>八</w:t>
        <w:br/>
        <w:t>法第五十一条第一項第九号に規定する専門家の派遣その他情報処理システムの運用及び管理に関し必要な協力に関する事項</w:t>
      </w:r>
    </w:p>
    <w:p>
      <w:pPr>
        <w:pStyle w:val="ListBullet"/>
        <w:ind w:left="880"/>
      </w:pPr>
      <w:r>
        <w:t>九</w:t>
        <w:br/>
        <w:t>法第五十一条第一項第十号に規定する中小企業支援法（昭和三十八年法律第百四十七号）第十七条に規定する業務に関する事項</w:t>
      </w:r>
    </w:p>
    <w:p>
      <w:pPr>
        <w:pStyle w:val="ListBullet"/>
        <w:ind w:left="880"/>
      </w:pPr>
      <w:r>
        <w:t>十</w:t>
        <w:br/>
        <w:t>法第五十一条第一項第十一号に規定する中小企業等経営強化法（平成十一年法律第十八号）第四十五条に規定する業務に関する事項</w:t>
      </w:r>
    </w:p>
    <w:p>
      <w:pPr>
        <w:pStyle w:val="ListBullet"/>
        <w:ind w:left="880"/>
      </w:pPr>
      <w:r>
        <w:t>十一</w:t>
        <w:br/>
        <w:t>法第五十一条第一項第十二号に規定する地域経済牽引事業の促進による地域の成長発展の基盤強化に関する法律（平成十九年法律第四十号）第八条第三項に規定する業務に関する事項</w:t>
      </w:r>
    </w:p>
    <w:p>
      <w:pPr>
        <w:pStyle w:val="ListBullet"/>
        <w:ind w:left="880"/>
      </w:pPr>
      <w:r>
        <w:t>十二</w:t>
        <w:br/>
        <w:t>法第五十一条第一項第十三号に規定する産業競争力強化法（平成二十五年法律第九十八号）第七十七条に規定する業務に関する事項</w:t>
      </w:r>
    </w:p>
    <w:p>
      <w:pPr>
        <w:pStyle w:val="ListBullet"/>
        <w:ind w:left="880"/>
      </w:pPr>
      <w:r>
        <w:t>十三</w:t>
        <w:br/>
        <w:t>法第五十一条第一項第十四号に規定する生産性向上特別措置法（平成三十年法律第二十五号）第二十八条第一項から第四項までに規定する業務に関する事項</w:t>
      </w:r>
    </w:p>
    <w:p>
      <w:pPr>
        <w:pStyle w:val="ListBullet"/>
        <w:ind w:left="880"/>
      </w:pPr>
      <w:r>
        <w:t>十四</w:t>
        <w:br/>
        <w:t>法第五十一条第一項第十五号に規定する附帯する業務に関する事項</w:t>
      </w:r>
    </w:p>
    <w:p>
      <w:pPr>
        <w:pStyle w:val="ListBullet"/>
        <w:ind w:left="880"/>
      </w:pPr>
      <w:r>
        <w:t>十五</w:t>
        <w:br/>
        <w:t>法第五十一条第二項に規定する事務に関する事項</w:t>
      </w:r>
    </w:p>
    <w:p>
      <w:pPr>
        <w:pStyle w:val="ListBullet"/>
        <w:ind w:left="880"/>
      </w:pPr>
      <w:r>
        <w:t>十六</w:t>
        <w:br/>
        <w:t>業務委託の基準</w:t>
      </w:r>
    </w:p>
    <w:p>
      <w:pPr>
        <w:pStyle w:val="ListBullet"/>
        <w:ind w:left="880"/>
      </w:pPr>
      <w:r>
        <w:t>十七</w:t>
        <w:br/>
        <w:t>競争その他契約に関する基本的事項</w:t>
      </w:r>
    </w:p>
    <w:p>
      <w:pPr>
        <w:pStyle w:val="ListBullet"/>
        <w:ind w:left="880"/>
      </w:pPr>
      <w:r>
        <w:t>十八</w:t>
        <w:br/>
        <w:t>その他機構の業務の執行に関して必要な事項</w:t>
      </w:r>
    </w:p>
    <w:p>
      <w:pPr>
        <w:pStyle w:val="Heading4"/>
      </w:pPr>
      <w:r>
        <w:t>第二条（中期計画の認可の申請）</w:t>
      </w:r>
    </w:p>
    <w:p>
      <w:r>
        <w:t>機構は、通則法第三十条第一項の規定により中期計画の認可を受けようとするときは、中期計画を記載した申請書を、当該中期計画の最初の事業年度開始の日の三十日前までに（機構の最初の事業年度の属する中期計画については、機構の成立後遅滞なく）、経済産業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機構は、通則法第三十条第一項後段の規定により中期計画の変更の認可を受けようとするときは、変更しようとする事項及びその理由を記載した申請書を経済産業大臣に提出しなければならない。</w:t>
      </w:r>
    </w:p>
    <w:p>
      <w:pPr>
        <w:pStyle w:val="Heading4"/>
      </w:pPr>
      <w:r>
        <w:t>第三条（中期計画の記載事項）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中期目標の期間を超える債務負担</w:t>
      </w:r>
    </w:p>
    <w:p>
      <w:pPr>
        <w:pStyle w:val="ListBullet"/>
        <w:ind w:left="880"/>
      </w:pPr>
      <w:r>
        <w:t>四</w:t>
        <w:br/>
        <w:t>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機構は、通則法第三十一条第一項後段の規定により年度計画を変更したときは、変更した事項及びその理由を記載した届出書を経済産業大臣に提出しなければならない。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機構は、前項に規定する報告書を経済産業大臣に提出したときは、速やかに、当該報告書をインターネットの利用その他の適切な方法により公表するものとする。</w:t>
      </w:r>
    </w:p>
    <w:p>
      <w:pPr>
        <w:pStyle w:val="Heading4"/>
      </w:pPr>
      <w:r>
        <w:t>第六条（会計の原則）</w:t>
      </w:r>
    </w:p>
    <w:p>
      <w:r>
        <w:t>通則法第三十七条の規定により定める機構の会計は、この省令の定めるところによるものとし、この省令に定めのないものについては、一般に公正妥当と認められる企業会計の基準に従うものとする。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第七条（収益の獲得が予定されない償却資産）</w:t>
      </w:r>
    </w:p>
    <w:p>
      <w:r>
        <w:t>経済産業大臣は、機構が業務のため取得しようとしている償却資産についてその減価に対応すべき収益の獲得が予定されないと認められる場合にあって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第八条（対応する収益の獲得が予定されない資産除去債務に係る除去費用等）</w:t>
      </w:r>
    </w:p>
    <w:p>
      <w:r>
        <w:t>経済産業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あっては、当該除去費用等を指定することができる。</w:t>
      </w:r>
    </w:p>
    <w:p>
      <w:pPr>
        <w:pStyle w:val="Heading4"/>
      </w:pPr>
      <w:r>
        <w:t>第九条（譲渡差額を損益計算上の損益に計上しない譲渡取引）</w:t>
      </w:r>
    </w:p>
    <w:p>
      <w:r>
        <w:t>経済産業大臣は、機構が通則法第四十六条の二第二項又は第四十六条の三第三項に規定する不要財産の譲渡取引についてその譲渡差額を損益計算上の損益に計上しないことが必要と認められる場合にあっては、当該譲渡取引を指定することができる。</w:t>
      </w:r>
    </w:p>
    <w:p>
      <w:pPr>
        <w:pStyle w:val="Heading4"/>
      </w:pPr>
      <w:r>
        <w:t>第十条（財務諸表）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機構に係る通則法第三十八条第二項に規定する主務省令で定める事項については、この条の定めるところによる。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通則法第三十九条第一項に規定する主務省令で定める事項については、この条の定めるところによる。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機構の子法人の取締役、会計参与、執行役、業務を執行する社員、会社法第五百九十八条第一項の職務を行うべき者その他これらの者に相当する者及び使用人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機構の財政状態、運営状況、キャッシュ・フローの状況等をすべての重要な点において適正に表示しているかどうかについての意見がある場合にあっては、次のイからハまでに掲げる意見の区分に応じ、当該イからハまでに定める事項</w:t>
      </w:r>
    </w:p>
    <w:p>
      <w:pPr>
        <w:pStyle w:val="ListBullet"/>
        <w:ind w:left="880"/>
      </w:pPr>
      <w:r>
        <w:t>三</w:t>
        <w:br/>
        <w:t>前号の意見がない場合にあっては、その旨及びその理由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第十二条の二（不要財産に係る民間等出資の払戻しの認可の申請）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経済産業大臣が定める額の持分の全部又は一部の払戻しの請求をすることができる旨を催告することについて認可を受けようとするときは、次に掲げる事項を記載した申請書を経済産業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当該不要財産により払戻しをする場合にあっては、当該不要財産の評価額</w:t>
      </w:r>
    </w:p>
    <w:p>
      <w:pPr>
        <w:pStyle w:val="ListBullet"/>
        <w:ind w:left="880"/>
      </w:pPr>
      <w:r>
        <w:t>七</w:t>
        <w:br/>
        <w:t>通則法第四十六条の三第三項に規定する主務大臣が定める基準により算定した金額により払戻しをする場合にあって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経済産業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通則法第四十六条の三第一項に規定する不要財産に係る出資額として主務大臣が定める額の持分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第十二条の三（中期計画に定めた不要財産の払戻しの催告に係る通知）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経済産業大臣が定める額の持分の全部又は一部の払戻しの請求をすることができる旨を催告しようとするときは、前条第一項各号に掲げる事項を経済産業大臣に通知しなければならない。</w:t>
      </w:r>
    </w:p>
    <w:p>
      <w:pPr>
        <w:pStyle w:val="Heading5"/>
        <w:ind w:left="440"/>
      </w:pPr>
      <w:r>
        <w:t>２</w:t>
      </w:r>
    </w:p>
    <w:p>
      <w:pPr>
        <w:ind w:left="440"/>
      </w:pPr>
      <w:r>
        <w:t>経済産業大臣は、前項の規定により通知を受けたときは、遅滞なく、財務大臣にその旨を通知するものとする。</w:t>
      </w:r>
    </w:p>
    <w:p>
      <w:pPr>
        <w:pStyle w:val="Heading4"/>
      </w:pPr>
      <w:r>
        <w:t>第十二条の四（催告の方法）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通則法第四十六条の三第一項に規定する不要財産に係る出資額として主務大臣が定める額の持分の全部又は一部の払戻しの請求をすることができる旨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あっては、その旨を当該催告の相手方に対し、通知するものとする。</w:t>
      </w:r>
    </w:p>
    <w:p>
      <w:pPr>
        <w:pStyle w:val="Heading4"/>
      </w:pPr>
      <w:r>
        <w:t>第十二条の五（民間等出資に係る不要財産の譲渡の報告等）</w:t>
      </w:r>
    </w:p>
    <w:p>
      <w:r>
        <w:t>機構は、通則法第四十六条の三第三項に規定する民間等出資に係る不要財産の譲渡を行ったときは、遅滞なく、次に掲げる事項を記載した報告書を経済産業大臣に提出するものとする。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経済産業大臣は、第一項の規定により報告書の提出を受けたときは、通則法第四十六条の三第三項の規定により経済産業大臣が定める基準に従い算定した金額（当該算定した金額が第一項第五号の持分の額に満たない場合にあっては、当該持分のうち通則法第四十六条の三第三項の規定により経済産業大臣が定める額の持分を含む。）を機構に通知するものとする。</w:t>
      </w:r>
    </w:p>
    <w:p>
      <w:pPr>
        <w:pStyle w:val="Heading5"/>
        <w:ind w:left="440"/>
      </w:pPr>
      <w:r>
        <w:t>４</w:t>
      </w:r>
    </w:p>
    <w:p>
      <w:pPr>
        <w:ind w:left="440"/>
      </w:pPr>
      <w:r>
        <w:t>機構は、前項の規定により通知を受けたときは、遅滞なく、同項の規定により通知された金額により、第一項第五号の持分（当該通知された金額が当該持分の額に満たない場合にあっては、前項の規定により経済産業大臣から通知された額の持分）を、当該請求をした出資者に払い戻すものとする。</w:t>
      </w:r>
    </w:p>
    <w:p>
      <w:pPr>
        <w:pStyle w:val="Heading4"/>
      </w:pPr>
      <w:r>
        <w:t>第十二条の六（資本金の減少の報告）</w:t>
      </w:r>
    </w:p>
    <w:p>
      <w:r>
        <w:t>機構は、通則法第四十六条の三第四項の規定により資本金を減少したときは、遅滞なく、その旨を経済産業大臣に報告するものとする。</w:t>
      </w:r>
    </w:p>
    <w:p>
      <w:pPr>
        <w:pStyle w:val="Heading4"/>
      </w:pPr>
      <w:r>
        <w:t>第十三条（通則法第四十八条に規定する主務省令で定める重要な財産）</w:t>
      </w:r>
    </w:p>
    <w:p>
      <w:r>
        <w:t>機構に係る通則法第四十八条に規定する主務省令で定める重要な財産は、建物とする。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pPr>
        <w:pStyle w:val="Heading4"/>
      </w:pPr>
      <w:r>
        <w:t>第十五条（積立金の処分に係る申請の添付書類）</w:t>
      </w:r>
    </w:p>
    <w:p>
      <w:r>
        <w:t>施行令第八条第二項に規定する経済産業省令で定める書類は、次に掲げるものとする。</w:t>
      </w:r>
    </w:p>
    <w:p>
      <w:pPr>
        <w:pStyle w:val="ListBullet"/>
        <w:ind w:left="880"/>
      </w:pPr>
      <w:r>
        <w:t>一</w:t>
        <w:br/>
        <w:t>当該中期目標の期間最後の事業年度の事業年度末の貸借対照表</w:t>
      </w:r>
    </w:p>
    <w:p>
      <w:pPr>
        <w:pStyle w:val="ListBullet"/>
        <w:ind w:left="880"/>
      </w:pPr>
      <w:r>
        <w:t>二</w:t>
        <w:br/>
        <w:t>当該中期目標の期間の最後の事業年度の損益計算書</w:t>
      </w:r>
    </w:p>
    <w:p>
      <w:pPr>
        <w:pStyle w:val="ListBullet"/>
        <w:ind w:left="880"/>
      </w:pPr>
      <w:r>
        <w:t>三</w:t>
        <w:br/>
        <w:t>承認を受けようとする金額の計算の基礎を明らかにした書類</w:t>
      </w:r>
    </w:p>
    <w:p>
      <w:pPr>
        <w:pStyle w:val="Heading4"/>
      </w:pPr>
      <w:r>
        <w:t>第十六条（共通的な経費の配賦基準）</w:t>
      </w:r>
    </w:p>
    <w:p>
      <w:r>
        <w:t>機構は、法第五十二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経済産業大臣の承認を受けて定める基準に従って、事業年度の期間中一括して経理し、当該事業年度の末日現在において各勘定に分配することにより経理することができる。</w:t>
      </w:r>
    </w:p>
    <w:p>
      <w:pPr>
        <w:pStyle w:val="Heading4"/>
      </w:pPr>
      <w:r>
        <w:t>第十七条（区分経理）</w:t>
      </w:r>
    </w:p>
    <w:p>
      <w:r>
        <w:t>機構は、法第五十二条第三号に掲げる業務に係る勘定の経理については、法第五十一条第一項第三号及び第四号に掲げる業務並びにこれらに附帯する業務（以下「債務保証業務」という。）に係る経理とその他の経理とを区分して整理しなければならない。</w:t>
      </w:r>
    </w:p>
    <w:p>
      <w:pPr>
        <w:pStyle w:val="Heading4"/>
      </w:pPr>
      <w:r>
        <w:t>第十八条（信用基金の増減）</w:t>
      </w:r>
    </w:p>
    <w:p>
      <w:r>
        <w:t>法第五十四条第一項の信用基金は、毎事業年度、債務保証業務に係る経理の損益計算により生じた利益の額により増加するものとし、債務保証業務に係る経理の損益計算により生じた損失の額により減少するものとする。</w:t>
      </w:r>
    </w:p>
    <w:p>
      <w:pPr>
        <w:pStyle w:val="Heading5"/>
        <w:ind w:left="440"/>
      </w:pPr>
      <w:r>
        <w:t>２</w:t>
      </w:r>
    </w:p>
    <w:p>
      <w:pPr>
        <w:ind w:left="440"/>
      </w:pPr>
      <w:r>
        <w:t>前項の信用基金の額は、法第五十四条第一項に規定する政府及び政府以外の者から出資された金額並びに政府以外の者から出えんされた金額の合計額を限度とする。</w:t>
      </w:r>
    </w:p>
    <w:p>
      <w:r>
        <w:br w:type="page"/>
      </w:r>
    </w:p>
    <w:p>
      <w:pPr>
        <w:pStyle w:val="Heading1"/>
      </w:pPr>
      <w:r>
        <w:t>附　則</w:t>
      </w:r>
    </w:p>
    <w:p>
      <w:r>
        <w:t>この省令は、中小企業の事業承継の促進のための中小企業における経営の承継の円滑化に関する法律等の一部を改正する法律の施行の日（令和二年十月一日）から施行する。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独立行政法人情報処理推進機構の業務運営、財務及び会計並びに人事管理に関する省令</w:t>
      <w:br/>
      <w:tab/>
      <w:t>（令和二年経済産業省令第七十八号）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独立行政法人情報処理推進機構の業務運営、財務及び会計並びに人事管理に関する省令（令和二年経済産業省令第七十八号）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