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独立行政法人日本芸術文化振興会に関する省令</w:t>
        <w:br/>
        <w:t>（平成十五年文部科学省令第五十二号）</w:t>
      </w:r>
    </w:p>
    <w:p>
      <w:pPr>
        <w:pStyle w:val="Heading4"/>
      </w:pPr>
      <w:r>
        <w:t>第一条（通則法第八条第三項に規定する主務省令で定める重要な財産）</w:t>
      </w:r>
    </w:p>
    <w:p>
      <w:r>
        <w:t>独立行政法人日本芸術文化振興会（以下「振興会」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振興会に係る通則法第十九条第四項の規定により主務省令で定める事項については、この条の定めるところによる。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振興会の役員及び職員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監事は、その職務の遂行に当たり、必要に応じ、振興会の他の監事との意思疎通及び情報の交換を図るよう努めなければならない。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振興会の業務が、法令等に従って適正に実施されているかどうか及び中期目標の着実な達成に向け効果的かつ効率的に実施されているかどうかについての意見</w:t>
      </w:r>
    </w:p>
    <w:p>
      <w:pPr>
        <w:pStyle w:val="ListBullet"/>
        <w:ind w:left="880"/>
      </w:pPr>
      <w:r>
        <w:t>三</w:t>
        <w:br/>
        <w:t>振興会の役員の職務の執行が法令等に適合することを確保するための体制その他振興会の業務の適正を確保するための体制の整備及び運用についての意見</w:t>
      </w:r>
    </w:p>
    <w:p>
      <w:pPr>
        <w:pStyle w:val="ListBullet"/>
        <w:ind w:left="880"/>
      </w:pPr>
      <w:r>
        <w:t>四</w:t>
        <w:br/>
        <w:t>振興会の役員の職務の遂行に関し、不正の行為又は法令等に違反する重大な事実があったときは、その事実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振興会に係る通則法第十九条第六項第二号に規定する主務省令で定める書類は、独立行政法人日本芸術文化振興会法（平成十四年法律第百六十三号。以下「振興会法」という。）及びこの省令の規定に基づき文部科学大臣に提出する書類とする。</w:t>
      </w:r>
    </w:p>
    <w:p>
      <w:pPr>
        <w:pStyle w:val="Heading4"/>
      </w:pPr>
      <w:r>
        <w:t>第一条の四（業務方法書に記載すべき事項）</w:t>
      </w:r>
    </w:p>
    <w:p>
      <w:r>
        <w:t>振興会に係る通則法第二十八条第二項の主務省令で定める業務方法書に記載すべき事項は、次のとおりとする。</w:t>
      </w:r>
    </w:p>
    <w:p>
      <w:pPr>
        <w:pStyle w:val="ListBullet"/>
        <w:ind w:left="880"/>
      </w:pPr>
      <w:r>
        <w:t>一</w:t>
        <w:br/>
        <w:t>振興会法第十四条第一号に規定する資金の支給その他必要な援助に関する事項</w:t>
      </w:r>
    </w:p>
    <w:p>
      <w:pPr>
        <w:pStyle w:val="ListBullet"/>
        <w:ind w:left="880"/>
      </w:pPr>
      <w:r>
        <w:t>二</w:t>
        <w:br/>
        <w:t>振興会法第十四条第二号に規定する劇場施設の設置、伝統芸能の公開及び現代舞台芸術の公演に関する事項</w:t>
      </w:r>
    </w:p>
    <w:p>
      <w:pPr>
        <w:pStyle w:val="ListBullet"/>
        <w:ind w:left="880"/>
      </w:pPr>
      <w:r>
        <w:t>三</w:t>
        <w:br/>
        <w:t>振興会法第十四条第三号に規定する伝統芸能の伝承者の養成及び現代舞台芸術の実演家その他の関係者の研修に関する事項</w:t>
      </w:r>
    </w:p>
    <w:p>
      <w:pPr>
        <w:pStyle w:val="ListBullet"/>
        <w:ind w:left="880"/>
      </w:pPr>
      <w:r>
        <w:t>四</w:t>
        <w:br/>
        <w:t>振興会法第十四条第四号に規定する調査研究並びに資料の収集及び供用に関する事項</w:t>
      </w:r>
    </w:p>
    <w:p>
      <w:pPr>
        <w:pStyle w:val="ListBullet"/>
        <w:ind w:left="880"/>
      </w:pPr>
      <w:r>
        <w:t>五</w:t>
        <w:br/>
        <w:t>振興会法第十四条第五号に規定する劇場施設の供用に関する事項</w:t>
      </w:r>
    </w:p>
    <w:p>
      <w:pPr>
        <w:pStyle w:val="ListBullet"/>
        <w:ind w:left="880"/>
      </w:pPr>
      <w:r>
        <w:t>六</w:t>
        <w:br/>
        <w:t>振興会法第十四条第六号に規定する附帯業務に関する事項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その他振興会の業務の執行に関して必要な事項</w:t>
      </w:r>
    </w:p>
    <w:p>
      <w:pPr>
        <w:pStyle w:val="Heading4"/>
      </w:pPr>
      <w:r>
        <w:t>第二条（中期計画の作成・変更に係る事項）</w:t>
      </w:r>
    </w:p>
    <w:p>
      <w:r>
        <w:t>振興会は、通則法第三十条第一項の規定により中期計画の認可を受けようとするときは、中期計画を記載した申請書を、当該中期計画の最初の事業年度開始三十日前までに（振興会の最初の事業年度の属する中期計画については、振興会の成立後遅滞なく）、文部科学大臣に提出しなければならない。</w:t>
      </w:r>
    </w:p>
    <w:p>
      <w:pPr>
        <w:pStyle w:val="Heading5"/>
        <w:ind w:left="440"/>
      </w:pPr>
      <w:r>
        <w:t>２</w:t>
      </w:r>
    </w:p>
    <w:p>
      <w:pPr>
        <w:ind w:left="440"/>
      </w:pPr>
      <w:r>
        <w:t>振興会は、通則法第三十条第一項後段の規定により中期計画の変更の認可を受けようとするときは、変更しようとする事項及びその理由を記載した申請書を文部科学大臣に提出しなければならない。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振興会に係る通則法第三十条第二項第八号に規定する主務省令で定める業務運営に関する事項は、次のとおりとする。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中期目標の期間を超える債務負担</w:t>
      </w:r>
    </w:p>
    <w:p>
      <w:pPr>
        <w:pStyle w:val="ListBullet"/>
        <w:ind w:left="880"/>
      </w:pPr>
      <w:r>
        <w:t>四</w:t>
        <w:br/>
        <w:t>積立金の使途</w:t>
      </w:r>
    </w:p>
    <w:p>
      <w:pPr>
        <w:pStyle w:val="ListBullet"/>
        <w:ind w:left="880"/>
      </w:pPr>
      <w:r>
        <w:t>五</w:t>
        <w:br/>
        <w:t>その他振興会の業務の運営に関し必要な事項</w:t>
      </w:r>
    </w:p>
    <w:p>
      <w:pPr>
        <w:pStyle w:val="Heading4"/>
      </w:pPr>
      <w:r>
        <w:t>第四条（年度計画の作成・変更に係る事項）</w:t>
      </w:r>
    </w:p>
    <w:p>
      <w:r>
        <w:t>振興会に係る通則法第三十一条第一項の年度計画には、中期計画に定めた事項に関し、当該事業年度において実施すべき事項を記載しなければならない。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振興会は、通則法第三十一条第一項後段の規定により年度計画の変更をしたときは、変更した事項及びその理由を記載した届出書を文部科学大臣に提出しなければならない。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振興会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振興会は、前項に規定する報告書を文部科学大臣に提出したときは、速やかに、当該報告書をインターネットの利用その他の適切な方法により公表するものとする。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振興会の会計については、この省令の定めるところにより、この省令に定めのないものについては、一般に公正妥当と認められる企業会計の基準に従うものとする。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振興会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振興会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振興会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振興会に係る通則法第三十八条第一項に規定する主務省令で定める書類は、キャッシュ・フロー計算書及び行政サービス実施コスト計算書とする。</w:t>
      </w:r>
    </w:p>
    <w:p>
      <w:pPr>
        <w:pStyle w:val="Heading4"/>
      </w:pPr>
      <w:r>
        <w:t>第十条の二（事業報告書の作成）</w:t>
      </w:r>
    </w:p>
    <w:p>
      <w:r>
        <w:t>振興会に係る通則法第三十八条第二項の規定により主務省令で定める事項については、この条の定めるところによる。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振興会に関する基礎的な情報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一条第一項に規定する年度計画に記載されたセグメント（振興会を構成する一定の単位をいう。）ごとの予算に関する見積りと当該予算の執行実績を明らかにした資料を添付するものとする。</w:t>
      </w:r>
    </w:p>
    <w:p>
      <w:pPr>
        <w:pStyle w:val="Heading4"/>
      </w:pPr>
      <w:r>
        <w:t>第十一条（財務諸表の閲覧期間）</w:t>
      </w:r>
    </w:p>
    <w:p>
      <w:r>
        <w:t>振興会に係る通則法第三十八条第三項に規定する主務省令で定める期間は、五年とする。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振興会の役員（監事を除く。）及び職員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振興会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振興会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第十三条（通則法第四十八条に規定する主務省令で定める重要な財産）</w:t>
      </w:r>
    </w:p>
    <w:p>
      <w:r>
        <w:t>振興会に係る通則法第四十八条に規定する主務省令で定める重要な財産は、土地及び建物並びに文部科学大臣が指定するその他の財産とする。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振興会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振興会の業務運営上支障がない旨及びその理由</w:t>
      </w:r>
    </w:p>
    <w:p>
      <w:pPr>
        <w:pStyle w:val="Heading4"/>
      </w:pPr>
      <w:r>
        <w:t>第十五条（経理方法）</w:t>
      </w:r>
    </w:p>
    <w:p>
      <w:r>
        <w:t>振興会は、次に掲げる業務ごとに経理を区分して整理しなければならない。</w:t>
      </w:r>
    </w:p>
    <w:p>
      <w:pPr>
        <w:pStyle w:val="ListBullet"/>
        <w:ind w:left="880"/>
      </w:pPr>
      <w:r>
        <w:t>一</w:t>
        <w:br/>
        <w:t>振興会法第十四条第一項第一号に掲げる業務及びこれに附帯する業務</w:t>
      </w:r>
    </w:p>
    <w:p>
      <w:pPr>
        <w:pStyle w:val="ListBullet"/>
        <w:ind w:left="880"/>
      </w:pPr>
      <w:r>
        <w:t>二</w:t>
        <w:br/>
        <w:t>振興会法第十四条第一項第二号から第五号までに掲げる業務のうち伝統芸能に関するもの及びこれらに附帯する業務</w:t>
      </w:r>
    </w:p>
    <w:p>
      <w:pPr>
        <w:pStyle w:val="ListBullet"/>
        <w:ind w:left="880"/>
      </w:pPr>
      <w:r>
        <w:t>三</w:t>
        <w:br/>
        <w:t>振興会法第十四条第一項第二号から第五号までに掲げる業務のうち現代舞台芸術に関するもの及びこれらに附帯する業務</w:t>
      </w:r>
    </w:p>
    <w:p>
      <w:pPr>
        <w:pStyle w:val="Heading4"/>
      </w:pPr>
      <w:r>
        <w:t>第十五条の二（通則法第五十条の六第一号に規定する主務省令で定める内部組織）</w:t>
      </w:r>
    </w:p>
    <w:p>
      <w:r>
        <w:t>振興会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第十五条の三（通則法第五十条の六第二号に規定する主務省令で定める管理又は監督の地位）</w:t>
      </w:r>
    </w:p>
    <w:p>
      <w:r>
        <w:t>振興会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第十六条（積立金の処分に係る申請書の添付書類）</w:t>
      </w:r>
    </w:p>
    <w:p>
      <w:r>
        <w:t>振興会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振興会の成立の際振興会法附則第二条第六項の規定により振興会に出資されたものとされる資産のうち償却資産については、第九条第一項の指定があったものとみなす。</w:t>
      </w:r>
    </w:p>
    <w:p>
      <w:pPr>
        <w:pStyle w:val="Heading4"/>
      </w:pPr>
      <w:r>
        <w:t>第三条（日本芸術文化振興会の業務方法書に記載すべき事項を定める省令等の廃止）</w:t>
      </w:r>
    </w:p>
    <w:p>
      <w:r>
        <w:t>次に掲げる省令及び規則は、廃止する。</w:t>
      </w:r>
    </w:p>
    <w:p>
      <w:pPr>
        <w:pStyle w:val="ListBullet"/>
        <w:ind w:left="880"/>
      </w:pPr>
      <w:r>
        <w:t>一</w:t>
        <w:br/>
        <w:t>日本芸術文化振興会の業務方法書に記載すべき事項を定める省令（昭和四十一年文部省令第四十号）</w:t>
      </w:r>
    </w:p>
    <w:p>
      <w:pPr>
        <w:pStyle w:val="ListBullet"/>
        <w:ind w:left="880"/>
      </w:pPr>
      <w:r>
        <w:t>二</w:t>
        <w:br/>
        <w:t>日本芸術文化振興会の財務及び会計に関する省令（昭和四十一年文部省令第四十一号）</w:t>
      </w:r>
    </w:p>
    <w:p>
      <w:pPr>
        <w:pStyle w:val="ListBullet"/>
        <w:ind w:left="880"/>
      </w:pPr>
      <w:r>
        <w:t>三</w:t>
        <w:br/>
        <w:t>日本芸術文化振興会の管理に関する規則の届出に関する規則（昭和四十一年文化財保護委員会規則第一号）</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十一</w:t>
        <w:br/>
        <w:t>独立行政法人日本芸術文化振興会に関する省令第五条第一項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一から十六まで</w:t>
        <w:br/>
        <w:t>略</w:t>
      </w:r>
    </w:p>
    <w:p>
      <w:pPr>
        <w:pStyle w:val="ListBullet"/>
        <w:ind w:left="880"/>
      </w:pPr>
      <w:r>
        <w:t>十七</w:t>
        <w:br/>
        <w:t>独立行政法人日本芸術文化振興会に関する省令第十条の二第三項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独立行政法人日本芸術文化振興会に関する省令</w:t>
      <w:br/>
      <w:tab/>
      <w:t>（平成十五年文部科学省令第五十二号）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独立行政法人日本芸術文化振興会に関する省令（平成十五年文部科学省令第五十二号）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