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独立行政法人日本芸術文化振興会法施行令</w:t>
        <w:br/>
        <w:t>（平成十五年政令第三百七十号）</w:t>
      </w:r>
    </w:p>
    <w:p>
      <w:r>
        <w:t>独立行政法人日本芸術文化振興会法（以下「法」という。）第五条第五項の評価委員は、必要の都度、次に掲げる者につき文部科学大臣が任命する。</w:t>
      </w:r>
    </w:p>
    <w:p>
      <w:pPr>
        <w:pStyle w:val="Heading6"/>
        <w:ind w:left="880"/>
      </w:pPr>
      <w:r>
        <w:t>一</w:t>
      </w:r>
    </w:p>
    <w:p>
      <w:pPr>
        <w:ind w:left="880"/>
      </w:pPr>
      <w:r>
        <w:t>財務省の職員</w:t>
      </w:r>
    </w:p>
    <w:p>
      <w:pPr>
        <w:pStyle w:val="Heading6"/>
        <w:ind w:left="880"/>
      </w:pPr>
      <w:r>
        <w:t>二</w:t>
      </w:r>
    </w:p>
    <w:p>
      <w:pPr>
        <w:ind w:left="880"/>
      </w:pPr>
      <w:r>
        <w:t>文部科学省の職員</w:t>
      </w:r>
    </w:p>
    <w:p>
      <w:pPr>
        <w:pStyle w:val="Heading6"/>
        <w:ind w:left="880"/>
      </w:pPr>
      <w:r>
        <w:t>三</w:t>
      </w:r>
    </w:p>
    <w:p>
      <w:pPr>
        <w:ind w:left="880"/>
      </w:pPr>
      <w:r>
        <w:t>独立行政法人日本芸術文化振興会（以下「振興会」という。）の役員</w:t>
      </w:r>
    </w:p>
    <w:p>
      <w:pPr>
        <w:pStyle w:val="Heading6"/>
        <w:ind w:left="880"/>
      </w:pPr>
      <w:r>
        <w:t>四</w:t>
      </w:r>
    </w:p>
    <w:p>
      <w:pPr>
        <w:ind w:left="880"/>
      </w:pPr>
      <w:r>
        <w:t>学識経験のある者</w:t>
      </w:r>
    </w:p>
    <w:p>
      <w:pPr>
        <w:pStyle w:val="Heading5"/>
        <w:ind w:left="440"/>
      </w:pPr>
      <w:r>
        <w:t>２</w:t>
      </w:r>
    </w:p>
    <w:p>
      <w:pPr>
        <w:ind w:left="440"/>
      </w:pPr>
      <w:r>
        <w:t>法第五条第五項の規定による評価は、同項の評価委員の過半数の一致によるものとする。</w:t>
      </w:r>
    </w:p>
    <w:p>
      <w:pPr>
        <w:pStyle w:val="Heading5"/>
        <w:ind w:left="440"/>
      </w:pPr>
      <w:r>
        <w:t>３</w:t>
      </w:r>
    </w:p>
    <w:p>
      <w:pPr>
        <w:ind w:left="440"/>
      </w:pPr>
      <w:r>
        <w:t>法第五条第五項の規定による評価に関する庶務は、文化庁企画調整課において処理する。</w:t>
      </w:r>
    </w:p>
    <w:p>
      <w:r>
        <w:br w:type="page"/>
      </w:r>
    </w:p>
    <w:p>
      <w:pPr>
        <w:pStyle w:val="Heading1"/>
      </w:pPr>
      <w:r>
        <w:t>附　則</w:t>
      </w:r>
    </w:p>
    <w:p>
      <w:pPr>
        <w:pStyle w:val="Heading4"/>
      </w:pPr>
      <w:r>
        <w:t>第一条（施行期日）</w:t>
      </w:r>
    </w:p>
    <w:p>
      <w:r>
        <w:t>この政令は、公布の日から施行する。</w:t>
      </w:r>
    </w:p>
    <w:p>
      <w:pPr>
        <w:pStyle w:val="Heading4"/>
      </w:pPr>
      <w:r>
        <w:t>第二条（国が承継する資産の範囲等）</w:t>
      </w:r>
    </w:p>
    <w:p>
      <w:r>
        <w:t>法附則第二条第二項の規定により国が承継する資産は、文部科学大臣が財務大臣に協議して定める。</w:t>
      </w:r>
    </w:p>
    <w:p>
      <w:pPr>
        <w:pStyle w:val="Heading5"/>
        <w:ind w:left="440"/>
      </w:pPr>
      <w:r>
        <w:t>２</w:t>
      </w:r>
    </w:p>
    <w:p>
      <w:pPr>
        <w:ind w:left="440"/>
      </w:pPr>
      <w:r>
        <w:t>前項の規定により国が承継する資産は、一般会計に帰属する。</w:t>
      </w:r>
    </w:p>
    <w:p>
      <w:pPr>
        <w:pStyle w:val="Heading4"/>
      </w:pPr>
      <w:r>
        <w:t>第三条（評価に関する規定の準用）</w:t>
      </w:r>
    </w:p>
    <w:p>
      <w:r>
        <w:t>第一条の規定は、法附則第二条第七項の評価委員その他評価について準用する。</w:t>
      </w:r>
    </w:p>
    <w:p>
      <w:pPr>
        <w:pStyle w:val="Heading4"/>
      </w:pPr>
      <w:r>
        <w:t>第四条（日本芸術文化振興会の解散の登記の嘱託等）</w:t>
      </w:r>
    </w:p>
    <w:p>
      <w:r>
        <w:t>法附則第二条第一項の規定により日本芸術文化振興会が解散したときは、文部科学大臣は、遅滞なく、その解散の登記を登記所に嘱託しなければならない。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第五条（日本芸術文化振興会法施行令の廃止）</w:t>
      </w:r>
    </w:p>
    <w:p>
      <w:r>
        <w:t>日本芸術文化振興会法施行令（昭和四十一年政令第二百号）は、廃止する。</w:t>
      </w:r>
    </w:p>
    <w:p>
      <w:r>
        <w:br w:type="page"/>
      </w:r>
    </w:p>
    <w:p>
      <w:pPr>
        <w:pStyle w:val="Heading1"/>
      </w:pPr>
      <w:r>
        <w:t>附　則（平成一七年四月一日政令第一一八号）</w:t>
      </w:r>
    </w:p>
    <w:p>
      <w:pPr>
        <w:pStyle w:val="Heading4"/>
      </w:pPr>
      <w:r>
        <w:t>第一条（施行期日）</w:t>
      </w:r>
    </w:p>
    <w:p>
      <w:r>
        <w:t>この政令は、公布の日から施行する。</w:t>
      </w:r>
    </w:p>
    <w:p>
      <w:r>
        <w:br w:type="page"/>
      </w:r>
    </w:p>
    <w:p>
      <w:pPr>
        <w:pStyle w:val="Heading1"/>
      </w:pPr>
      <w:r>
        <w:t>附　則（平成三〇年九月二七日政令第二六六号）</w:t>
      </w:r>
    </w:p>
    <w:p>
      <w:pPr>
        <w:pStyle w:val="Heading4"/>
      </w:pPr>
      <w:r>
        <w:t>第一条（施行期日）</w:t>
      </w:r>
    </w:p>
    <w:p>
      <w:r>
        <w:t>この政令は、平成三十年十月一日から施行する。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独立行政法人日本芸術文化振興会法施行令</w:t>
      <w:br/>
      <w:tab/>
      <w:t>（平成十五年政令第三百七十号）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独立行政法人日本芸術文化振興会法施行令（平成十五年政令第三百七十号）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