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独立行政法人日本貿易振興機構の業務運営、財務及び会計並びに人事管理に関する省令</w:t>
        <w:br/>
        <w:t>（平成十五年経済産業省令第百十九号）</w:t>
      </w:r>
    </w:p>
    <w:p>
      <w:pPr>
        <w:pStyle w:val="Heading4"/>
      </w:pPr>
      <w:r>
        <w:t>第一条（独立行政法人通則法第八条第三項に規定する主務省令で定める重要な財産）</w:t>
      </w:r>
    </w:p>
    <w:p>
      <w:r>
        <w:t>独立行政法人日本貿易振興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が定める財産とする。</w:t>
      </w:r>
    </w:p>
    <w:p>
      <w:pPr>
        <w:pStyle w:val="Heading4"/>
      </w:pPr>
      <w:r>
        <w:t>第一条の二（業務方法書の記載事項）</w:t>
      </w:r>
    </w:p>
    <w:p>
      <w:r>
        <w:t>機構に係る通則法第二十八条第二項の主務省令で定める業務方法書に記載すべき事項は、次に掲げる事項とする。</w:t>
      </w:r>
    </w:p>
    <w:p>
      <w:pPr>
        <w:pStyle w:val="Heading6"/>
        <w:ind w:left="880"/>
      </w:pPr>
      <w:r>
        <w:t>一</w:t>
      </w:r>
    </w:p>
    <w:p>
      <w:pPr>
        <w:ind w:left="880"/>
      </w:pPr>
      <w:r>
        <w:t>独立行政法人日本貿易振興機構法（平成十四年法律第百七十二号。以下「機構法」という。）第十二条第一号に規定する貿易に関する調査及びその成果の普及に関する事項</w:t>
      </w:r>
    </w:p>
    <w:p>
      <w:pPr>
        <w:pStyle w:val="Heading6"/>
        <w:ind w:left="880"/>
      </w:pPr>
      <w:r>
        <w:t>二</w:t>
      </w:r>
    </w:p>
    <w:p>
      <w:pPr>
        <w:ind w:left="880"/>
      </w:pPr>
      <w:r>
        <w:t>機構法第十二条第二号に規定する我が国の産業及び商品の紹介及び宣伝に関する事項</w:t>
      </w:r>
    </w:p>
    <w:p>
      <w:pPr>
        <w:pStyle w:val="Heading6"/>
        <w:ind w:left="880"/>
      </w:pPr>
      <w:r>
        <w:t>三</w:t>
      </w:r>
    </w:p>
    <w:p>
      <w:pPr>
        <w:ind w:left="880"/>
      </w:pPr>
      <w:r>
        <w:t>機構法第十二条第三号に規定する貿易取引のあっせんに関する事項</w:t>
      </w:r>
    </w:p>
    <w:p>
      <w:pPr>
        <w:pStyle w:val="Heading6"/>
        <w:ind w:left="880"/>
      </w:pPr>
      <w:r>
        <w:t>四</w:t>
      </w:r>
    </w:p>
    <w:p>
      <w:pPr>
        <w:ind w:left="880"/>
      </w:pPr>
      <w:r>
        <w:t>機構法第十二条第四号に規定する貿易に関する出版物の刊行及び頒布その他の貿易に関する広報に関する事項</w:t>
      </w:r>
    </w:p>
    <w:p>
      <w:pPr>
        <w:pStyle w:val="Heading6"/>
        <w:ind w:left="880"/>
      </w:pPr>
      <w:r>
        <w:t>五</w:t>
      </w:r>
    </w:p>
    <w:p>
      <w:pPr>
        <w:ind w:left="880"/>
      </w:pPr>
      <w:r>
        <w:t>機構法第十二条第五号に規定する博覧会、見本市その他これらに準ずるものの開催若しくは参加又はその開催若しくは参加のあっせんに関する事項</w:t>
      </w:r>
    </w:p>
    <w:p>
      <w:pPr>
        <w:pStyle w:val="Heading6"/>
        <w:ind w:left="880"/>
      </w:pPr>
      <w:r>
        <w:t>六</w:t>
      </w:r>
    </w:p>
    <w:p>
      <w:pPr>
        <w:ind w:left="880"/>
      </w:pPr>
      <w:r>
        <w:t>機構法第十二条第六号に規定するアジア地域その他の地域の経済及びこれに関連する諸事情に関する資料の収集に関する事項</w:t>
      </w:r>
    </w:p>
    <w:p>
      <w:pPr>
        <w:pStyle w:val="Heading6"/>
        <w:ind w:left="880"/>
      </w:pPr>
      <w:r>
        <w:t>七</w:t>
      </w:r>
    </w:p>
    <w:p>
      <w:pPr>
        <w:ind w:left="880"/>
      </w:pPr>
      <w:r>
        <w:t>機構法第十二条第七号に規定するアジア地域その他の地域の経済及びこれに関連する諸事情に関する文献その他の資料による調査研究又は現地調査に関する事項</w:t>
      </w:r>
    </w:p>
    <w:p>
      <w:pPr>
        <w:pStyle w:val="Heading6"/>
        <w:ind w:left="880"/>
      </w:pPr>
      <w:r>
        <w:t>八</w:t>
      </w:r>
    </w:p>
    <w:p>
      <w:pPr>
        <w:ind w:left="880"/>
      </w:pPr>
      <w:r>
        <w:t>機構法第十二条第八号に規定する同条第六号及び第七号に掲げる業務に係る成果の提供に関する事項</w:t>
      </w:r>
    </w:p>
    <w:p>
      <w:pPr>
        <w:pStyle w:val="Heading6"/>
        <w:ind w:left="880"/>
      </w:pPr>
      <w:r>
        <w:t>九</w:t>
      </w:r>
    </w:p>
    <w:p>
      <w:pPr>
        <w:ind w:left="880"/>
      </w:pPr>
      <w:r>
        <w:t>機構法第十二条第九号に規定する同条第六号から第八号までに掲げる業務に係る施設をアジア地域その他の地域の経済及びこれに関連する諸事情に関する調査研究を行う者の共用に供することに関する事項</w:t>
      </w:r>
    </w:p>
    <w:p>
      <w:pPr>
        <w:pStyle w:val="Heading6"/>
        <w:ind w:left="880"/>
      </w:pPr>
      <w:r>
        <w:t>十</w:t>
      </w:r>
    </w:p>
    <w:p>
      <w:pPr>
        <w:ind w:left="880"/>
      </w:pPr>
      <w:r>
        <w:t>業務委託の基準</w:t>
      </w:r>
    </w:p>
    <w:p>
      <w:pPr>
        <w:pStyle w:val="Heading6"/>
        <w:ind w:left="880"/>
      </w:pPr>
      <w:r>
        <w:t>十一</w:t>
      </w:r>
    </w:p>
    <w:p>
      <w:pPr>
        <w:ind w:left="880"/>
      </w:pPr>
      <w:r>
        <w:t>競争入札その他契約に関する基本的事項</w:t>
      </w:r>
    </w:p>
    <w:p>
      <w:pPr>
        <w:pStyle w:val="Heading6"/>
        <w:ind w:left="880"/>
      </w:pPr>
      <w:r>
        <w:t>十二</w:t>
      </w:r>
    </w:p>
    <w:p>
      <w:pPr>
        <w:ind w:left="880"/>
      </w:pPr>
      <w:r>
        <w:t>その他機構の業務の執行に関して必要な事項</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第三条（中期計画の認可の申請）</w:t>
      </w:r>
    </w:p>
    <w:p>
      <w:r>
        <w:t>機構は、通則法第三十条第一項の規定により中期計画の認可を受けようとするときは、中期計画を記載した申請書を、当該中期計画の最初の事業年度開始の日の三十日前までに（機構の最初の事業年度の属する中期計画については、機構の成立後遅滞なく）、経済産業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機構は、通則法第三十条第一項後段の規定により中期計画の変更の認可を受けようとするときは、変更しようとする事項及びその理由を記載した申請書を経済産業大臣に提出しなければならない。</w:t>
      </w:r>
    </w:p>
    <w:p>
      <w:pPr>
        <w:pStyle w:val="Heading4"/>
      </w:pPr>
      <w:r>
        <w:t>第四条（中期計画の記載事項）</w:t>
      </w:r>
    </w:p>
    <w:p>
      <w:r>
        <w:t>機構に係る通則法第三十条第二項第八号に規定する主務省令で定める業務運営に関する事項は、次のとおりとする。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人事に関する計画（人員及び人件費の効率化に関する目標を含む。）</w:t>
      </w:r>
    </w:p>
    <w:p>
      <w:pPr>
        <w:pStyle w:val="Heading6"/>
        <w:ind w:left="880"/>
      </w:pPr>
      <w:r>
        <w:t>三</w:t>
      </w:r>
    </w:p>
    <w:p>
      <w:pPr>
        <w:ind w:left="880"/>
      </w:pPr>
      <w:r>
        <w:t>積立金の処分に関する事項</w:t>
      </w:r>
    </w:p>
    <w:p>
      <w:pPr>
        <w:pStyle w:val="Heading4"/>
      </w:pPr>
      <w:r>
        <w:t>第五条（年度計画の記載事項等）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機構は、通則法第三十一条第一項後段の規定により年度計画を変更したときは、変更した事項及びその理由を記載した届出書を経済産業大臣に提出しなければならない。</w:t>
      </w:r>
    </w:p>
    <w:p>
      <w:pPr>
        <w:pStyle w:val="Heading4"/>
      </w:pPr>
      <w:r>
        <w:t>第六条（業務実績等報告書）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第七条（会計の原則）</w:t>
      </w:r>
    </w:p>
    <w:p>
      <w:r>
        <w:t>通則法第三十七条の規定により定める機構の会計は、この省令の定めるところによるものとし、この省令に定めないものについては、一般に公正妥当と認められる企業会計の基準に従うものとする。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第八条（事業報告書の作成）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機構に関する基礎的な情報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一条に規定する年度計画に記載されたセグメント（機構を構成する一定の単位をいう。）ごとの予算に関する見積りと当該予算の執行実績を明らかにした資料を添付するものとする。</w:t>
      </w:r>
    </w:p>
    <w:p>
      <w:pPr>
        <w:pStyle w:val="Heading4"/>
      </w:pPr>
      <w:r>
        <w:t>第九条（会計監査報告の作成）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第十条（会計処理）</w:t>
      </w:r>
    </w:p>
    <w:p>
      <w:r>
        <w:t>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第十条の二（対応する収益の獲得が予定されない資産除去債務に係る除去費用等）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第十条の三（譲渡差額を損益計算上の損益に計上しない譲渡取引）</w:t>
      </w:r>
    </w:p>
    <w:p>
      <w:r>
        <w:t>経済産業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第十一条（財務諸表）</w:t>
      </w:r>
    </w:p>
    <w:p>
      <w:r>
        <w:t>機構に係る通則法第三十八条第一項に規定する主務省令で定める書類は、独立行政法人会計基準に定めるキャッシュ・フロー計算書及び行政サービス実施コスト計算書とする。</w:t>
      </w:r>
    </w:p>
    <w:p>
      <w:pPr>
        <w:pStyle w:val="Heading4"/>
      </w:pPr>
      <w:r>
        <w:t>第十二条（財務諸表の閲覧期間）</w:t>
      </w:r>
    </w:p>
    <w:p>
      <w:r>
        <w:t>機構に係る通則法第三十八条第三項に規定する主務省令で定める期間は、五年とする。</w:t>
      </w:r>
    </w:p>
    <w:p>
      <w:pPr>
        <w:pStyle w:val="Heading4"/>
      </w:pPr>
      <w:r>
        <w:t>第十三条（短期借入金の認可申請）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第十四条（通則法第四十八条第一項に規定する主務省令で定める重要な財産）</w:t>
      </w:r>
    </w:p>
    <w:p>
      <w:r>
        <w:t>機構に係る通則法第四十八条第一項に規定する主務省令で定める重要な財産は、土地及び建物とする。</w:t>
      </w:r>
    </w:p>
    <w:p>
      <w:pPr>
        <w:pStyle w:val="Heading4"/>
      </w:pPr>
      <w:r>
        <w:t>第十五条（通則法第四十八条第一項に規定する主務省令で定める重要な財産の処分等の認可の申請）</w:t>
      </w:r>
    </w:p>
    <w:p>
      <w:r>
        <w:t>機構は、通則法第四十八条第一項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第十六条（積立金の処分に係る申請書類）</w:t>
      </w:r>
    </w:p>
    <w:p>
      <w:r>
        <w:t>独立行政法人の組織、運営及び管理に係る共通的な事項に関する政令第二十一条第二項に規定する経済産業省令で定める書類は、同条第一項に規定する期間最後の事業年度の事業年度末の貸借対照表及び当該事業年度の損益計算書とする。</w:t>
      </w:r>
    </w:p>
    <w:p>
      <w:pPr>
        <w:pStyle w:val="Heading4"/>
      </w:pPr>
      <w:r>
        <w:t>第十七条（内部組織）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第十八条（管理又は監督の地位）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機構の成立の際機構法附則第二条第一項の規定により機構が承継した償却資産（国庫補助金で取得したものを除く。）については、第九条第一項の指定を受けたものとみなして、同条第二項の規定を適用する。</w:t>
      </w:r>
    </w:p>
    <w:p>
      <w:pPr>
        <w:pStyle w:val="Heading4"/>
      </w:pPr>
      <w:r>
        <w:t>第三条（業務方法書の記載事項の特例）</w:t>
      </w:r>
    </w:p>
    <w:p>
      <w:r>
        <w:t>機構法附則第三条第一項の規定により機構の業務が行われる場合には、第一条中「次に掲げる事項」とあるのは、「次に掲げる事項及び機構法附則第三条第一項に規定する債権の管理及び回収に関する事項」とする。</w:t>
      </w:r>
    </w:p>
    <w:p>
      <w:pPr>
        <w:pStyle w:val="Heading4"/>
      </w:pPr>
      <w:r>
        <w:t>第四条（日本貿易振興会の業務の方法ならびに財務および会計に関する省令の廃止）</w:t>
      </w:r>
    </w:p>
    <w:p>
      <w:r>
        <w:t>日本貿易振興会の業務の方法ならびに財務および会計に関する省令（昭和三十三年通商産業省令第七十六号）は廃止する。</w:t>
      </w:r>
    </w:p>
    <w:p>
      <w:r>
        <w:br w:type="page"/>
      </w:r>
    </w:p>
    <w:p>
      <w:pPr>
        <w:pStyle w:val="Heading1"/>
      </w:pPr>
      <w:r>
        <w:t>附　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　則（平成二七年三月三一日経済産業省令第二八号）</w:t>
      </w:r>
    </w:p>
    <w:p>
      <w:pPr>
        <w:pStyle w:val="Heading4"/>
      </w:pPr>
      <w:r>
        <w:t>第一条（施行期日）</w:t>
      </w:r>
    </w:p>
    <w:p>
      <w:r>
        <w:t>この省令は、独立行政法人通則法の一部を改正する法律（平成二十六年法律第六十六号。以下「改正法」という。）の施行の日（平成二十七年四月一日、以下「施行日」という。）から施行する。</w:t>
      </w:r>
    </w:p>
    <w:p>
      <w:pPr>
        <w:pStyle w:val="Heading4"/>
      </w:pPr>
      <w:r>
        <w:t>第二条（業務実績等報告書に係る経過措置）</w:t>
      </w:r>
    </w:p>
    <w:p>
      <w:r>
        <w:t>改正法附則第十一条第一項の規定により改正法の施行日の前日に終了した事業年度及び中期目標の期間に係る業務の実績に関する評価を行う場合におけるこの省令による改正後の独立行政法人日本貿易振興機構の業務運営、財務及び会計並びに人事管理に関する省令（平成十五年経済産業省令第百十九号。以下「新令」という。）第六条の規定の適用については、同条の表中「通則法第二十九条第二項第二号」とあるのは「旧通則法第二十九条第二項第三号」と、「同項第三号から第五号」とあるのは「同項第二号、第四号及び第五号」と、「通則法第二十九条第二項第二号から第五号」とあるのは「旧通則法第二十九条第二項第二号から第五号」と読み替える。</w:t>
      </w:r>
    </w:p>
    <w:p>
      <w:pPr>
        <w:pStyle w:val="Heading4"/>
      </w:pPr>
      <w:r>
        <w:t>第三条（中期計画の認可申請に係る経過措置）</w:t>
      </w:r>
    </w:p>
    <w:p>
      <w:r>
        <w:t>この省令の施行日を含む事業年度を最初の事業年度とする中期計画に係る新令第三条の規定の適用については、「当該中期計画の最初の事業年度開始の日の三十日前までに」とあるのは「平成二十七年四月一日以後最初の中期目標の指示を受けた後遅滞なく」とする。</w:t>
      </w:r>
    </w:p>
    <w:p>
      <w:pPr>
        <w:pStyle w:val="Heading4"/>
      </w:pPr>
      <w:r>
        <w:t>第四条（事業報告書の作成に係る経過措置）</w:t>
      </w:r>
    </w:p>
    <w:p>
      <w:r>
        <w:t>新令第八条第三項の規定は、改正法の施行の日（平成二十七年四月一日）以後に開始する事業年度に係る事業報告書から適用する。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独立行政法人日本貿易振興機構の業務運営、財務及び会計並びに人事管理に関する省令</w:t>
      <w:br/>
      <w:tab/>
      <w:t>（平成十五年経済産業省令第百十九号）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独立行政法人日本貿易振興機構の業務運営、財務及び会計並びに人事管理に関する省令（平成十五年経済産業省令第百十九号）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