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独立行政法人水資源機構に関する不動産登記規則の準用に関する省令</w:t>
        <w:br/>
        <w:t>（平成十五年国土交通省令第百五号）</w:t>
      </w:r>
    </w:p>
    <w:p>
      <w:r>
        <w:t>不動産登記規則（平成十七年法務省令第十八号）第四十三条第一項第四号（第五十一条第八項、第六十五条第九項、第六十八条第十項及び第七十条第七項において準用する場合を含む。）、第六十三条の二第一項及び第三項、第六十四条第一項第一号及び第四号並びに第百八十二条第二項（これらの規定を船舶登記規則（平成十七年法務省令第二十七号）第四十九条において準用する場合を含む。）の規定については、独立行政法人水資源機構を国の行政機関とみなして、これらの規定を準用する。</w:t>
      </w:r>
    </w:p>
    <w:p>
      <w:r>
        <w:br w:type="page"/>
      </w:r>
    </w:p>
    <w:p>
      <w:pPr>
        <w:pStyle w:val="Heading1"/>
      </w:pPr>
      <w:r>
        <w:t>附　則</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pPr>
        <w:pStyle w:val="Heading4"/>
      </w:pPr>
      <w:r>
        <w:t>第九条（独立行政法人水資源機構に関する不動産登記法施行細則の準用に関する省令の一部改正に伴う経過措置）</w:t>
      </w:r>
    </w:p>
    <w:p>
      <w:r>
        <w:t>不動産登記規則附則第十五条第四項第一号及び第三号並びに船舶登記規則附則第三条第八項第一号及び第三号の規定については、独立行政法人水資源機構を国の行政機関とみなして、これらの規定を準用する。</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独立行政法人水資源機構に関する不動産登記規則の準用に関する省令</w:t>
      <w:br/>
      <w:tab/>
      <w:t>（平成十五年国土交通省令第百五号）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独立行政法人水資源機構に関する不動産登記規則の準用に関する省令（平成十五年国土交通省令第百五号）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