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独立行政法人産業技術総合研究所法の一部を改正する法律の施行に伴う関係政令の整理及び経過措置に関する政令　抄</w:t>
        <w:br/>
        <w:t>（平成十七年政令第四十六号）</w:t>
      </w:r>
    </w:p>
    <w:p>
      <w:pPr>
        <w:pStyle w:val="Heading4"/>
      </w:pPr>
      <w:r>
        <w:t>第二条（国家公務員退職手当法等の適用に関する経過措置）</w:t>
      </w:r>
    </w:p>
    <w:p>
      <w:r>
        <w:t>独立行政法人産業技術総合研究所法の一部を改正する法律の施行前に従前の独立行政法人産業技術総合研究所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昭和二十八年法律第百八十二号）第十二条の二及び第十二条の三の規定の適用については、国立研究開発法人産業技術総合研究所の長は、同法第十二条の二第一項に規定する各省各庁の長等とみなす。</w:t>
      </w:r>
    </w:p>
    <w:p>
      <w:r>
        <w:br w:type="page"/>
      </w:r>
    </w:p>
    <w:p>
      <w:pPr>
        <w:pStyle w:val="Heading1"/>
      </w:pPr>
      <w:r>
        <w:t>附　則</w:t>
      </w:r>
    </w:p>
    <w:p>
      <w:r>
        <w:t>この政令は、平成十七年四月一日から施行する。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独立行政法人産業技術総合研究所法の一部を改正する法律の施行に伴う関係政令の整理及び経過措置に関する政令　抄</w:t>
      <w:br/>
      <w:tab/>
      <w:t>（平成十七年政令第四十六号）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独立行政法人産業技術総合研究所法の一部を改正する法律の施行に伴う関係政令の整理及び経過措置に関する政令　抄（平成十七年政令第四十六号）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