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独立行政法人製品評価技術基盤機構法</w:t>
        <w:br/>
        <w:t>（平成十一年法律第二百四号）</w:t>
      </w:r>
    </w:p>
    <w:p>
      <w:pPr>
        <w:pStyle w:val="Heading2"/>
      </w:pPr>
      <w:r>
        <w:t>第一章　総則</w:t>
      </w:r>
    </w:p>
    <w:p>
      <w:pPr>
        <w:pStyle w:val="Heading4"/>
      </w:pPr>
      <w:r>
        <w:t>第一条（目的）</w:t>
      </w:r>
    </w:p>
    <w:p>
      <w:r>
        <w:t>この法律は、独立行政法人製品評価技術基盤機構の名称、目的、業務の範囲等に関する事項を定めることを目的とする。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製品評価技術基盤機構とする。</w:t>
      </w:r>
    </w:p>
    <w:p>
      <w:pPr>
        <w:pStyle w:val="Heading4"/>
      </w:pPr>
      <w:r>
        <w:t>第三条（機構の目的）</w:t>
      </w:r>
    </w:p>
    <w:p>
      <w:r>
        <w:t>独立行政法人製品評価技術基盤機構（以下「機構」という。）は、工業製品等に関する技術上の評価等を行うとともに、工業製品等の品質に関する情報の収集、評価、整理及び提供等を行うことにより、工業製品等の品質の向上、安全性の確保及び取引の円滑化のための技術的な基盤の整備を図り、もって経済及び産業の発展並びに鉱物資源及びエネルギーの安定的かつ効率的な供給の確保に資することを目的とする。</w:t>
      </w:r>
    </w:p>
    <w:p>
      <w:pPr>
        <w:pStyle w:val="Heading4"/>
      </w:pPr>
      <w:r>
        <w:t>第四条（行政執行法人）</w:t>
      </w:r>
    </w:p>
    <w:p>
      <w:r>
        <w:t>機構は、通則法第二条第四項に規定する行政執行法人とする。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機構の理事の解任に関する通則法第二十三条第一項の規定の適用については、同項中「前条」とあるのは、「前条及び独立行政法人製品評価技術基盤機構法第十条第一項」とする。</w:t>
      </w:r>
    </w:p>
    <w:p>
      <w:pPr>
        <w:pStyle w:val="Heading2"/>
      </w:pPr>
      <w:r>
        <w:t>第三章　業務等</w:t>
      </w:r>
    </w:p>
    <w:p>
      <w:pPr>
        <w:pStyle w:val="Heading4"/>
      </w:pPr>
      <w:r>
        <w:t>第十一条（業務の範囲）</w:t>
      </w:r>
    </w:p>
    <w:p>
      <w:r>
        <w:t>機構は、第三条の目的を達成するため、次の業務を行う。</w:t>
      </w:r>
    </w:p>
    <w:p>
      <w:pPr>
        <w:pStyle w:val="Heading6"/>
        <w:ind w:left="880"/>
      </w:pPr>
      <w:r>
        <w:t>一</w:t>
      </w:r>
    </w:p>
    <w:p>
      <w:pPr>
        <w:ind w:left="880"/>
      </w:pPr>
      <w:r>
        <w:t>工業製品その他の物資に関する技術上の評価を行うこと。</w:t>
      </w:r>
    </w:p>
    <w:p>
      <w:pPr>
        <w:pStyle w:val="Heading6"/>
        <w:ind w:left="880"/>
      </w:pPr>
      <w:r>
        <w:t>二</w:t>
      </w:r>
    </w:p>
    <w:p>
      <w:pPr>
        <w:ind w:left="880"/>
      </w:pPr>
      <w:r>
        <w:t>工業製品その他の物資に関する試験、分析、検査その他これらに類する事業を行う者の技術的能力その他の当該事業の適正な実施に必要な能力に関する評価を行うこと。</w:t>
      </w:r>
    </w:p>
    <w:p>
      <w:pPr>
        <w:pStyle w:val="Heading6"/>
        <w:ind w:left="880"/>
      </w:pPr>
      <w:r>
        <w:t>三</w:t>
      </w:r>
    </w:p>
    <w:p>
      <w:pPr>
        <w:ind w:left="880"/>
      </w:pPr>
      <w:r>
        <w:t>工業製品その他の物資の品質に関する技術上の情報の収集、評価、整理及び提供を行うこと。</w:t>
      </w:r>
    </w:p>
    <w:p>
      <w:pPr>
        <w:pStyle w:val="Heading6"/>
        <w:ind w:left="880"/>
      </w:pPr>
      <w:r>
        <w:t>四</w:t>
      </w:r>
    </w:p>
    <w:p>
      <w:pPr>
        <w:ind w:left="880"/>
      </w:pPr>
      <w:r>
        <w:t>第一号の評価の技術に関する調査及び研究を行うこと。</w:t>
      </w:r>
    </w:p>
    <w:p>
      <w:pPr>
        <w:pStyle w:val="Heading6"/>
        <w:ind w:left="880"/>
      </w:pPr>
      <w:r>
        <w:t>五</w:t>
      </w:r>
    </w:p>
    <w:p>
      <w:pPr>
        <w:ind w:left="880"/>
      </w:pPr>
      <w:r>
        <w:t>前各号の業務に附帯する業務を行うこと。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産業標準化法（昭和二十四年法律第百八十五号）第三十五条第一項から第三項までの規定による立入検査及び第五十四条第一項の規定による立入検査（同法第三十三条第一項又は第三十七条第六項の認証を行う登録認証機関に関するものを除く。）並びに第五十六条第一項第八号の規定による検査（同法第三十三条第一項又は第三十七条第六項の認証を行う登録認証機関に関するものを除く。）</w:t>
      </w:r>
    </w:p>
    <w:p>
      <w:pPr>
        <w:pStyle w:val="Heading6"/>
        <w:ind w:left="880"/>
      </w:pPr>
      <w:r>
        <w:t>二</w:t>
      </w:r>
    </w:p>
    <w:p>
      <w:pPr>
        <w:ind w:left="880"/>
      </w:pPr>
      <w:r>
        <w:t>ガス事業法（昭和二十九年法律第五十一号）第百五十六条第一項第八号の規定による検査並びに第百七十二条第一項及び第三項の規定による立入検査</w:t>
      </w:r>
    </w:p>
    <w:p>
      <w:pPr>
        <w:pStyle w:val="Heading6"/>
        <w:ind w:left="880"/>
      </w:pPr>
      <w:r>
        <w:t>三</w:t>
      </w:r>
    </w:p>
    <w:p>
      <w:pPr>
        <w:ind w:left="880"/>
      </w:pPr>
      <w:r>
        <w:t>電気用品安全法（昭和三十六年法律第二百三十四号）第四十二条の四第一項第八号の規定による検査又は質問並びに第四十六条第一項及び第二項の規定による立入検査又は質問</w:t>
      </w:r>
    </w:p>
    <w:p>
      <w:pPr>
        <w:pStyle w:val="Heading6"/>
        <w:ind w:left="880"/>
      </w:pPr>
      <w:r>
        <w:t>四</w:t>
      </w:r>
    </w:p>
    <w:p>
      <w:pPr>
        <w:ind w:left="880"/>
      </w:pPr>
      <w:r>
        <w:t>家庭用品品質表示法（昭和三十七年法律第百四号）第十九条第一項の規定による立入検査</w:t>
      </w:r>
    </w:p>
    <w:p>
      <w:pPr>
        <w:pStyle w:val="Heading6"/>
        <w:ind w:left="880"/>
      </w:pPr>
      <w:r>
        <w:t>四の二</w:t>
      </w:r>
    </w:p>
    <w:p>
      <w:pPr>
        <w:ind w:left="880"/>
      </w:pPr>
      <w:r>
        <w:t>電気事業法（昭和三十九年法律第百七十号）第百七条第四項及び第五項の規定による立入検査</w:t>
      </w:r>
    </w:p>
    <w:p>
      <w:pPr>
        <w:pStyle w:val="Heading6"/>
        <w:ind w:left="880"/>
      </w:pPr>
      <w:r>
        <w:t>五</w:t>
      </w:r>
    </w:p>
    <w:p>
      <w:pPr>
        <w:ind w:left="880"/>
      </w:pPr>
      <w:r>
        <w:t>液化石油ガスの保安の確保及び取引の適正化に関する法律（昭和四十二年法律第百四十九号）第六十四条第一項第八号の規定による検査又は質問並びに第八十三条第一項及び第五項の規定による立入検査又は質問</w:t>
      </w:r>
    </w:p>
    <w:p>
      <w:pPr>
        <w:pStyle w:val="Heading6"/>
        <w:ind w:left="880"/>
      </w:pPr>
      <w:r>
        <w:t>六</w:t>
      </w:r>
    </w:p>
    <w:p>
      <w:pPr>
        <w:ind w:left="880"/>
      </w:pPr>
      <w:r>
        <w:t>消費生活用製品安全法（昭和四十八年法律第三十一号）第三十一条第一項第八号の規定による検査及び第四十一条第一項から第三項までの規定による立入検査</w:t>
      </w:r>
    </w:p>
    <w:p>
      <w:pPr>
        <w:pStyle w:val="Heading6"/>
        <w:ind w:left="880"/>
      </w:pPr>
      <w:r>
        <w:t>六の二</w:t>
      </w:r>
    </w:p>
    <w:p>
      <w:pPr>
        <w:ind w:left="880"/>
      </w:pPr>
      <w:r>
        <w:t>化学物質の審査及び製造等の規制に関する法律（昭和四十八年法律第百十七号）第四十四条第一項から第三項までの規定による立入検査、質問又は収去</w:t>
      </w:r>
    </w:p>
    <w:p>
      <w:pPr>
        <w:pStyle w:val="Heading6"/>
        <w:ind w:left="880"/>
      </w:pPr>
      <w:r>
        <w:t>七</w:t>
      </w:r>
    </w:p>
    <w:p>
      <w:pPr>
        <w:ind w:left="880"/>
      </w:pPr>
      <w:r>
        <w:t>計量法（平成四年法律第五十一号）第百四十八条第一項及び第二項の規定による立入検査（同法第百四十四条第一項に規定する登録事業者に対するものを除く。）</w:t>
      </w:r>
    </w:p>
    <w:p>
      <w:pPr>
        <w:pStyle w:val="Heading6"/>
        <w:ind w:left="880"/>
      </w:pPr>
      <w:r>
        <w:t>八</w:t>
      </w:r>
    </w:p>
    <w:p>
      <w:pPr>
        <w:ind w:left="880"/>
      </w:pPr>
      <w:r>
        <w:t>化学兵器の禁止及び特定物質の規制等に関する法律（平成七年法律第六十五号）第三十条第五項の規定による立会い及び第三十三条第一項の規定による立入検査、質問又は収去</w:t>
      </w:r>
    </w:p>
    <w:p>
      <w:pPr>
        <w:pStyle w:val="Heading6"/>
        <w:ind w:left="880"/>
      </w:pPr>
      <w:r>
        <w:t>九</w:t>
      </w:r>
    </w:p>
    <w:p>
      <w:pPr>
        <w:ind w:left="880"/>
      </w:pPr>
      <w:r>
        <w:t>特定機器に係る適合性評価手続の結果の外国との相互承認の実施に関する法律（平成十三年法律第百十一号）第三十七条第四項の規定による立入検査又は質問</w:t>
      </w:r>
    </w:p>
    <w:p>
      <w:pPr>
        <w:pStyle w:val="Heading6"/>
        <w:ind w:left="880"/>
      </w:pPr>
      <w:r>
        <w:t>十</w:t>
      </w:r>
    </w:p>
    <w:p>
      <w:pPr>
        <w:ind w:left="880"/>
      </w:pPr>
      <w:r>
        <w:t>遺伝子組換え生物等の使用等の規制による生物の多様性の確保に関する法律（平成十五年法律第九十七号）第三十二条第一項の規定による立入り、質問、検査及び収去</w:t>
      </w:r>
    </w:p>
    <w:p>
      <w:pPr>
        <w:pStyle w:val="Heading4"/>
      </w:pPr>
      <w:r>
        <w:t>第十二条（積立金の処分）</w:t>
      </w:r>
    </w:p>
    <w:p>
      <w:r>
        <w:t>機構は、毎事業年度に係る通則法第四十四条第一項又は第二項の規定による整理を行った後、同条第一項の規定による積立金があるときは、その額に相当する金額のうち経済産業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機構に係る通則法における主務大臣及び主務省令は、それぞれ経済産業大臣及び経済産業省令とする。</w:t>
      </w:r>
    </w:p>
    <w:p>
      <w:pPr>
        <w:pStyle w:val="Heading2"/>
      </w:pPr>
      <w:r>
        <w:t>第五章　罰則</w:t>
      </w:r>
    </w:p>
    <w:p>
      <w:pPr>
        <w:pStyle w:val="Heading4"/>
      </w:pPr>
      <w:r>
        <w:t>第十四条</w:t>
      </w:r>
    </w:p>
    <w:p>
      <w:r>
        <w:t>次の各号のいずれかに該当する場合には、その違反行為をした機構の役員は、二十万円以下の過料に処する。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機構の成立の際現に経済産業省の部局又は機関で政令で定めるものの職員である者は、別に辞令を発せられない限り、機構の成立の日において、機構の相当の職員となるものとする。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経済産業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機構の成立の際、第十一条に規定する業務に関し、現に国が有する権利及び義務のうち政令で定めるものは、機構の成立の時において機構が承継する。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機構の成立の時において現に建設中の建物等（建物及びその建物に附属する工作物をいう。次項において同じ。）で政令で定めるものを機構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機構の成立の際現に附則第二条に規定する政令で定める部局又は機関に使用されている国有財産であって政令で定めるものを、政令で定めるところにより、機構の用に供するため、機構に無償で使用させることができ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則（平成一三年七月一一日法律第一一一号）</w:t>
      </w:r>
    </w:p>
    <w:p>
      <w:pPr>
        <w:pStyle w:val="Heading4"/>
      </w:pPr>
      <w:r>
        <w:t>第一条（施行期日）</w:t>
      </w:r>
    </w:p>
    <w:p>
      <w:r>
        <w:t>この法律は、協定の効力発生の日から施行する。</w:t>
      </w:r>
    </w:p>
    <w:p>
      <w:r>
        <w:br w:type="page"/>
      </w:r>
    </w:p>
    <w:p>
      <w:pPr>
        <w:pStyle w:val="Heading1"/>
      </w:pPr>
      <w:r>
        <w:t>附　則（平成一四年四月二六日法律第三一号）</w:t>
      </w:r>
    </w:p>
    <w:p>
      <w:pPr>
        <w:pStyle w:val="Heading4"/>
      </w:pPr>
      <w:r>
        <w:t>第一条（施行期日）</w:t>
      </w:r>
    </w:p>
    <w:p>
      <w:r>
        <w:t>この法律は、新たな時代における経済上の連携に関する日本国とシンガポール共和国との間の協定の効力発生の日から施行する。</w:t>
      </w:r>
    </w:p>
    <w:p>
      <w:r>
        <w:br w:type="page"/>
      </w:r>
    </w:p>
    <w:p>
      <w:pPr>
        <w:pStyle w:val="Heading1"/>
      </w:pPr>
      <w:r>
        <w:t>附　則（平成一五年五月二八日法律第四九号）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一及び二</w:t>
      </w:r>
    </w:p>
    <w:p>
      <w:pPr>
        <w:ind w:left="880"/>
      </w:pPr>
      <w:r>
        <w:t>略</w:t>
      </w:r>
    </w:p>
    <w:p>
      <w:pPr>
        <w:pStyle w:val="Heading6"/>
        <w:ind w:left="880"/>
      </w:pPr>
      <w:r>
        <w:t>三</w:t>
      </w:r>
    </w:p>
    <w:p>
      <w:pPr>
        <w:ind w:left="880"/>
      </w:pPr>
      <w:r>
        <w:t>第一条、次条及び附則第十四条の規定</w:t>
      </w:r>
    </w:p>
    <w:p>
      <w:r>
        <w:br w:type="page"/>
      </w:r>
    </w:p>
    <w:p>
      <w:pPr>
        <w:pStyle w:val="Heading1"/>
      </w:pPr>
      <w:r>
        <w:t>附　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　則（平成一六年六月九日法律第九五号）</w:t>
      </w:r>
    </w:p>
    <w:p>
      <w:pPr>
        <w:pStyle w:val="Heading4"/>
      </w:pPr>
      <w:r>
        <w:t>第一条（施行期日）</w:t>
      </w:r>
    </w:p>
    <w:p>
      <w:r>
        <w:t>この法律は、平成十七年十月一日から施行する。</w:t>
      </w:r>
    </w:p>
    <w:p>
      <w:pPr>
        <w:pStyle w:val="Heading6"/>
        <w:ind w:left="880"/>
      </w:pPr>
      <w:r>
        <w:t>二</w:t>
      </w:r>
    </w:p>
    <w:p>
      <w:pPr>
        <w:ind w:left="880"/>
      </w:pPr>
      <w:r>
        <w:t>第一条、次条及び附則第十六条の規定</w:t>
      </w:r>
    </w:p>
    <w:p>
      <w:pPr>
        <w:pStyle w:val="Heading4"/>
      </w:pPr>
      <w:r>
        <w:t>第十五条（独立行政法人製品評価技術基盤機構法の一部改正に伴う経過措置）</w:t>
      </w:r>
    </w:p>
    <w:p>
      <w:r>
        <w:t>独立行政法人製品評価技術基盤機構は、施行日から特定日までの間は、前条の規定による改正後の独立行政法人製品評価技術基盤機構法第十一条第一項及び第二項に規定する業務のほか、次の業務を行う。</w:t>
      </w:r>
    </w:p>
    <w:p>
      <w:pPr>
        <w:pStyle w:val="Heading6"/>
        <w:ind w:left="880"/>
      </w:pPr>
      <w:r>
        <w:t>一</w:t>
      </w:r>
    </w:p>
    <w:p>
      <w:pPr>
        <w:ind w:left="880"/>
      </w:pPr>
      <w:r>
        <w:t>附則第四条第三項若しくは第五条第三項の規定によりなおその効力を有するものとされる旧法第二十二条第一項（旧法第二十五条第三項において準用する場合を含む。）の規定、附則第十条第一項の規定によりなおその効力を有するものとされる旧法第三十八条第一項の規定又は附則第十一条第三項若しくは第四項の規定によりなおその効力を有するものとされる旧法第五十二条第一項の規定による立入検査</w:t>
      </w:r>
    </w:p>
    <w:p>
      <w:pPr>
        <w:pStyle w:val="Heading6"/>
        <w:ind w:left="880"/>
      </w:pPr>
      <w:r>
        <w:t>二</w:t>
      </w:r>
    </w:p>
    <w:p>
      <w:pPr>
        <w:ind w:left="880"/>
      </w:pPr>
      <w:r>
        <w:t>附則第六条第三項の規定によりなおその効力を有するものとされる旧法第二十五条の四第一項第五号の規定、附則第十条第二項の規定によりなおその効力を有するものとされる旧法第四十条第一項第九号の規定又は附則第十二条第二項の規定によりなおその効力を有するものとされる旧法第五十四条第一項第八号の規定による検査</w:t>
      </w:r>
    </w:p>
    <w:p>
      <w:pPr>
        <w:pStyle w:val="Heading4"/>
      </w:pPr>
      <w:r>
        <w:t>第十六条（罰則の適用に関する経過措置）</w:t>
      </w:r>
    </w:p>
    <w:p>
      <w:r>
        <w:t>この法律（附則第一条第二号に掲げる規定については、当該規定。以下この条において同じ。）の施行前にした行為及びこの附則の規定によりなおその効力を有するものとされる場合におけるこの法律の施行後にした行為に対する罰則の適用については、なお従前の例による。</w:t>
      </w:r>
    </w:p>
    <w:p>
      <w:r>
        <w:br w:type="page"/>
      </w:r>
    </w:p>
    <w:p>
      <w:pPr>
        <w:pStyle w:val="Heading1"/>
      </w:pPr>
      <w:r>
        <w:t>附　則（平成一八年一二月六日法律第一〇四号）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則（平成一九年六月二〇日法律第九二号）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則（平成二一年五月二〇日法律第三九号）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第二条並びに附則第三条（第三項を除く。）及び第七条の規定</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w:t>
        <w:br/>
        <w:t>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独立行政法人製品評価技術基盤機構法</w:t>
      <w:br/>
      <w:tab/>
      <w:t>（平成十一年法律第二百四号）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独立行政法人製品評価技術基盤機構法（平成十一年法律第二百四号）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