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独立行政法人評価制度委員会令</w:t>
        <w:br/>
        <w:t>（平成二十七年政令第九十六号）</w:t>
      </w:r>
    </w:p>
    <w:p>
      <w:pPr>
        <w:pStyle w:val="Heading4"/>
      </w:pPr>
      <w:r>
        <w:t>第一条（部会）</w:t>
      </w:r>
    </w:p>
    <w:p>
      <w:r>
        <w:t>独立行政法人評価制度委員会（以下「委員会」という。）は、その定めるところにより、部会を置くことができる。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第二条（議事）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前二項の規定は、部会の議事に準用する。</w:t>
      </w:r>
    </w:p>
    <w:p>
      <w:pPr>
        <w:pStyle w:val="Heading4"/>
      </w:pPr>
      <w:r>
        <w:t>第三条（庶務）</w:t>
      </w:r>
    </w:p>
    <w:p>
      <w:r>
        <w:t>委員会の庶務は、総務省行政管理局企画調整課（総務省組織令（平成十二年政令第二百四十六号）第三十六条の規定により総務省行政管理局に置かれる管理官が同令第三十九条の規定により命を受けて委員会の庶務に関する事務を分掌する場合にあっては、当該管理官）において処理する。</w:t>
      </w:r>
    </w:p>
    <w:p>
      <w:pPr>
        <w:pStyle w:val="Heading4"/>
      </w:pPr>
      <w:r>
        <w:t>第四条（委員会の運営）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独立行政法人評価制度委員会令</w:t>
      <w:br/>
      <w:tab/>
      <w:t>（平成二十七年政令第九十六号）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独立行政法人評価制度委員会令（平成二十七年政令第九十六号）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