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独立行政法人農畜産業振興機構の業務運営、財務及び会計並びに人事管理に関する省令</w:t>
        <w:br/>
        <w:t>（平成十五年農林水産省令第百四号）</w:t>
      </w:r>
    </w:p>
    <w:p>
      <w:pPr>
        <w:pStyle w:val="Heading4"/>
      </w:pPr>
      <w:r>
        <w:t>第一条（通則法第八条第三項の主務省令で定める重要な財産）</w:t>
      </w:r>
    </w:p>
    <w:p>
      <w:r>
        <w:t>独立行政法人農畜産業振興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の主務省令で定める書類は、独立行政法人農畜産業振興機構法（平成十四年法律第百二十六号。以下「機構法」という。）の規定に基づき農林水産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機構法第十条第一号の業務及びこれに附帯する業務に関する次の事項</w:t>
      </w:r>
    </w:p>
    <w:p>
      <w:pPr>
        <w:pStyle w:val="Heading6"/>
        <w:ind w:left="880"/>
      </w:pPr>
      <w:r>
        <w:t>二</w:t>
      </w:r>
    </w:p>
    <w:p>
      <w:pPr>
        <w:ind w:left="880"/>
      </w:pPr>
      <w:r>
        <w:t>機構法第十条第二号及びこれに附帯する業務に関する次の事項</w:t>
      </w:r>
    </w:p>
    <w:p>
      <w:pPr>
        <w:pStyle w:val="Heading6"/>
        <w:ind w:left="880"/>
      </w:pPr>
      <w:r>
        <w:t>三</w:t>
      </w:r>
    </w:p>
    <w:p>
      <w:pPr>
        <w:ind w:left="880"/>
      </w:pPr>
      <w:r>
        <w:t>機構法第十条第三号の業務に関する次の事項</w:t>
      </w:r>
    </w:p>
    <w:p>
      <w:pPr>
        <w:pStyle w:val="Heading6"/>
        <w:ind w:left="880"/>
      </w:pPr>
      <w:r>
        <w:t>四</w:t>
      </w:r>
    </w:p>
    <w:p>
      <w:pPr>
        <w:ind w:left="880"/>
      </w:pPr>
      <w:r>
        <w:t>機構法第十条第四号及びこれに附帯する業務に関する次の事項</w:t>
      </w:r>
    </w:p>
    <w:p>
      <w:pPr>
        <w:pStyle w:val="Heading6"/>
        <w:ind w:left="880"/>
      </w:pPr>
      <w:r>
        <w:t>五</w:t>
      </w:r>
    </w:p>
    <w:p>
      <w:pPr>
        <w:ind w:left="880"/>
      </w:pPr>
      <w:r>
        <w:t>機構法第十条第五号の業務に関する次の事項</w:t>
      </w:r>
    </w:p>
    <w:p>
      <w:pPr>
        <w:pStyle w:val="Heading6"/>
        <w:ind w:left="880"/>
      </w:pPr>
      <w:r>
        <w:t>六</w:t>
      </w:r>
    </w:p>
    <w:p>
      <w:pPr>
        <w:ind w:left="880"/>
      </w:pPr>
      <w:r>
        <w:t>機構法第十条第六号の規定による畜産物、野菜、砂糖及びその原料作物並びにでん粉及びその原料作物の生産及び流通に関する情報の収集、整理及び提供に関する事項</w:t>
      </w:r>
    </w:p>
    <w:p>
      <w:pPr>
        <w:pStyle w:val="Heading6"/>
        <w:ind w:left="880"/>
      </w:pPr>
      <w:r>
        <w:t>七</w:t>
      </w:r>
    </w:p>
    <w:p>
      <w:pPr>
        <w:ind w:left="880"/>
      </w:pPr>
      <w:r>
        <w:t>機構法附則第六条第一項の規定による補助に関する事項</w:t>
      </w:r>
    </w:p>
    <w:p>
      <w:pPr>
        <w:pStyle w:val="Heading6"/>
        <w:ind w:left="880"/>
      </w:pPr>
      <w:r>
        <w:t>八</w:t>
      </w:r>
    </w:p>
    <w:p>
      <w:pPr>
        <w:ind w:left="880"/>
      </w:pPr>
      <w:r>
        <w:t>機構法附則第八条の株式又は持分の管理及び処分に関する事項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第五条（中期計画の認可の申請）</w:t>
      </w:r>
    </w:p>
    <w:p>
      <w:r>
        <w:t>機構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　その他当該中期目標を達成するために必要な事項</w:t>
      </w:r>
    </w:p>
    <w:p>
      <w:pPr>
        <w:ind w:left="880"/>
      </w:pPr>
      <w:r>
        <w:br/>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第十条（区分経理等）</w:t>
      </w:r>
    </w:p>
    <w:p>
      <w:r>
        <w:t>機構は、機構法第十二条第一項に規定する勘定として、同項第一号の業務に係る経理については畜産勘定を、同項第二号の業務に係る経理については補給金等勘定を、同項第三号の業務に係る経理については野菜勘定を、同項第四号の業務に係る経理については砂糖勘定を、同項第五号の業務に係る経理についてはでん粉勘定を設けなければならない。</w:t>
      </w:r>
    </w:p>
    <w:p>
      <w:pPr>
        <w:pStyle w:val="Heading5"/>
        <w:ind w:left="440"/>
      </w:pPr>
      <w:r>
        <w:t>２</w:t>
      </w:r>
    </w:p>
    <w:p>
      <w:pPr>
        <w:ind w:left="440"/>
      </w:pPr>
      <w:r>
        <w:t>機構は、畜産勘定においては次条第一項の畜産業振興資金の増減に関する経理を、野菜勘定においては第十二条第一項の野菜生産出荷安定資金の増減に関する経理を、砂糖勘定においては砂糖及びでん粉の価格調整に関する法律（昭和四十年法律第百九号）第十一条第一項又は第二項の規定による売渡し及び同法第十四条第一項の規定による売戻しに係る異性化糖等についての当該売渡しの対価と当該売戻しの対価との差額の合計額、同法第十八条の二第一項の規定による売渡し及び同法第十八条の五第一項の規定による売戻しに係る輸入加糖調製品についての当該売渡しの対価と当該売戻しの対価との差額並びに附則第二条第一項の砂糖生産振興資金の増減に関する経理をそれぞれ整理しなければならない。</w:t>
      </w:r>
    </w:p>
    <w:p>
      <w:pPr>
        <w:pStyle w:val="Heading5"/>
        <w:ind w:left="440"/>
      </w:pPr>
      <w:r>
        <w:t>３</w:t>
      </w:r>
    </w:p>
    <w:p>
      <w:pPr>
        <w:ind w:left="440"/>
      </w:pPr>
      <w:r>
        <w:t>機構は、機構法第十二条第一項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第十一条（畜産業振興資金等）</w:t>
      </w:r>
    </w:p>
    <w:p>
      <w:r>
        <w:t>機構は、畜産勘定に畜産業振興資金を置くものとする。</w:t>
      </w:r>
    </w:p>
    <w:p>
      <w:pPr>
        <w:pStyle w:val="Heading5"/>
        <w:ind w:left="440"/>
      </w:pPr>
      <w:r>
        <w:t>２</w:t>
      </w:r>
    </w:p>
    <w:p>
      <w:pPr>
        <w:ind w:left="440"/>
      </w:pPr>
      <w:r>
        <w:t>機構は、機構法第十条第一号イ及び第二号の業務（これらに附帯する業務を含む。第四項において同じ。）に必要な経費の財源に充てるために通則法第四十六条第一項の規定により政府から交付された金額及び機構法第十二条第二項の規定により繰り入れた金額並びに及び第四条第一号ロの支払及び同条第二号ロの交付に必要な経費の財源に充てるために政府以外の者から拠出された金額を畜産業振興資金に充てるものとする。</w:t>
      </w:r>
    </w:p>
    <w:p>
      <w:pPr>
        <w:pStyle w:val="Heading5"/>
        <w:ind w:left="440"/>
      </w:pPr>
      <w:r>
        <w:t>３</w:t>
      </w:r>
    </w:p>
    <w:p>
      <w:pPr>
        <w:ind w:left="440"/>
      </w:pPr>
      <w:r>
        <w:t>畜産業振興資金の運用によって生じた利子その他当該資金の運用又は使用に伴い生ずる収入は、畜産業振興資金に充てるものとする。</w:t>
      </w:r>
    </w:p>
    <w:p>
      <w:pPr>
        <w:pStyle w:val="Heading5"/>
        <w:ind w:left="440"/>
      </w:pPr>
      <w:r>
        <w:t>４</w:t>
      </w:r>
    </w:p>
    <w:p>
      <w:pPr>
        <w:ind w:left="440"/>
      </w:pPr>
      <w:r>
        <w:t>畜産業振興資金は、通則法第四十六条の二の規定により国庫に納付する場合及び通則法第四十七条の規定により運用する場合のほか、機構法第十条第一号イ及び第二号の業務に必要な経費に充てる場合に限り、使用することができる。</w:t>
      </w:r>
    </w:p>
    <w:p>
      <w:pPr>
        <w:pStyle w:val="Heading5"/>
        <w:ind w:left="440"/>
      </w:pPr>
      <w:r>
        <w:t>５</w:t>
      </w:r>
    </w:p>
    <w:p>
      <w:pPr>
        <w:ind w:left="440"/>
      </w:pPr>
      <w:r>
        <w:t>機構は、翌事業年度における肉用子牛生産安定等特別措置法（昭和六十三年法律第九十八号。以下この条において「特別措置法」という。）第三条第一項に規定する業務又は機構法第十条第一号ロからヘまでに規定する業務の財源に不足を生ずる場合には、特別措置法第十四条第二項に規定する資金の運用によって生じた利子その他当該資金の運用又は使用に伴い生ずる収入の額又は見込額の全部又は一部を、当該不足に相当する額として農林水産大臣が定める額を限度として、特別措置法第十六条第二項の規定による繰入れに必要な経費の財源に充てるための引当金として積み立てるものとする。</w:t>
      </w:r>
    </w:p>
    <w:p>
      <w:pPr>
        <w:pStyle w:val="Heading5"/>
        <w:ind w:left="440"/>
      </w:pPr>
      <w:r>
        <w:t>６</w:t>
      </w:r>
    </w:p>
    <w:p>
      <w:pPr>
        <w:ind w:left="440"/>
      </w:pPr>
      <w:r>
        <w:t>機構は、特別措置法第十四条第二項に規定する資金の運用によって生じた利子その他当該資金の運用又は使用に伴い生ずる収入の額又は見込額から前項に規定する引当金の金額を控除してなお残余があるときは、その残余の額を畜産業振興資金に充てるものとする。</w:t>
      </w:r>
    </w:p>
    <w:p>
      <w:pPr>
        <w:pStyle w:val="Heading4"/>
      </w:pPr>
      <w:r>
        <w:t>第十二条（野菜生産出荷安定資金等）</w:t>
      </w:r>
    </w:p>
    <w:p>
      <w:r>
        <w:t>機構は、野菜勘定に野菜生産出荷安定資金を置くものとする。</w:t>
      </w:r>
    </w:p>
    <w:p>
      <w:pPr>
        <w:pStyle w:val="Heading5"/>
        <w:ind w:left="440"/>
      </w:pPr>
      <w:r>
        <w:t>２</w:t>
      </w:r>
    </w:p>
    <w:p>
      <w:pPr>
        <w:ind w:left="440"/>
      </w:pPr>
      <w:r>
        <w:t>機構は、機構法第十条第三号イの生産者補給交付金若しくは生産者補給金又は同号ロの交付金（以下「生産者補給交付金等」という。）の交付に充てるために野菜生産出荷安定法第十条第一項の登録出荷団体（以下この項において「登録出荷団体」という。）又は同項の登録生産者（以下この項において「登録生産者」という。）から徴収した負担金並びに登録出荷団体及び登録生産者以外の者から生産者補給交付金等の交付に充てることを条件として交付された金銭並びに機構法第十条第三号ハ及び第四号の業務（これらの業務に附帯する業務を含む。）に必要な経費の財源に充てるために通則法第四十六条第一項の規定により政府から交付された金額並びに第四条第四号ロの交付に必要な経費の財源に充てるために政府以外の者から拠出された金額を野菜生産出荷安定資金に充てるものとする。</w:t>
      </w:r>
    </w:p>
    <w:p>
      <w:pPr>
        <w:pStyle w:val="Heading5"/>
        <w:ind w:left="440"/>
      </w:pPr>
      <w:r>
        <w:t>３</w:t>
      </w:r>
    </w:p>
    <w:p>
      <w:pPr>
        <w:ind w:left="440"/>
      </w:pPr>
      <w:r>
        <w:t>野菜生産出荷安定資金の運用によって生じた利子その他野菜生産出荷安定資金の運用又は使用に伴い生ずる収入は、人件費、事務費その他の業務費に充てるほか、野菜生産出荷安定資金に充てることができる。</w:t>
      </w:r>
    </w:p>
    <w:p>
      <w:pPr>
        <w:pStyle w:val="Heading5"/>
        <w:ind w:left="440"/>
      </w:pPr>
      <w:r>
        <w:t>４</w:t>
      </w:r>
    </w:p>
    <w:p>
      <w:pPr>
        <w:ind w:left="440"/>
      </w:pPr>
      <w:r>
        <w:t>野菜生産出荷安定資金は、通則法第四十六条の二の規定により国庫に納付する場合及び通則法第四十七条の規定により運用する場合のほか、生産者補給交付金等の交付に必要な経費に充てる場合並びに機構法第十条第三号ハ及び第四号の規定による補助金の交付に必要な経費に充てる場合並びに第四条第四号ロの交付に必要な経費に充てる場合に限り、使用することができる。</w:t>
      </w:r>
    </w:p>
    <w:p>
      <w:pPr>
        <w:pStyle w:val="Heading4"/>
      </w:pPr>
      <w:r>
        <w:t>第十三条（償却資産の指定等）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第十五条（対応する収益の獲得が予定されない資産除去債務に係る除去費用等）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第十七条（事業報告書の作成）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　中期計画及び年度計画の概要</w:t>
      </w:r>
    </w:p>
    <w:p>
      <w:pPr>
        <w:ind w:left="880"/>
      </w:pPr>
      <w:r>
        <w:br/>
      </w:r>
    </w:p>
    <w:p>
      <w:pPr>
        <w:pStyle w:val="Heading6"/>
        <w:ind w:left="880"/>
      </w:pPr>
      <w:r>
        <w:t>六　持続的に適正なサービスを提供するための源泉</w:t>
      </w:r>
    </w:p>
    <w:p>
      <w:pPr>
        <w:ind w:left="880"/>
      </w:pPr>
      <w:r>
        <w:br/>
      </w:r>
    </w:p>
    <w:p>
      <w:pPr>
        <w:pStyle w:val="Heading6"/>
        <w:ind w:left="880"/>
      </w:pPr>
      <w:r>
        <w:t>七　業務運営上の課題及びリスクの状況並びにその対応策</w:t>
      </w:r>
    </w:p>
    <w:p>
      <w:pPr>
        <w:ind w:left="880"/>
      </w:pPr>
      <w:r>
        <w:br/>
      </w:r>
    </w:p>
    <w:p>
      <w:pPr>
        <w:pStyle w:val="Heading6"/>
        <w:ind w:left="880"/>
      </w:pPr>
      <w:r>
        <w:t>八　業績の適正な評価に資する情報</w:t>
      </w:r>
    </w:p>
    <w:p>
      <w:pPr>
        <w:ind w:left="880"/>
      </w:pPr>
      <w:r>
        <w:br/>
      </w:r>
    </w:p>
    <w:p>
      <w:pPr>
        <w:pStyle w:val="Heading6"/>
        <w:ind w:left="880"/>
      </w:pPr>
      <w:r>
        <w:t>九　業務の成果及び当該業務に要した資源</w:t>
      </w:r>
    </w:p>
    <w:p>
      <w:pPr>
        <w:ind w:left="880"/>
      </w:pPr>
      <w:r>
        <w:br/>
      </w:r>
    </w:p>
    <w:p>
      <w:pPr>
        <w:pStyle w:val="Heading6"/>
        <w:ind w:left="880"/>
      </w:pPr>
      <w:r>
        <w:t>十　予算及び決算の概要</w:t>
      </w:r>
    </w:p>
    <w:p>
      <w:pPr>
        <w:ind w:left="880"/>
      </w:pPr>
      <w:r>
        <w:br/>
      </w:r>
    </w:p>
    <w:p>
      <w:pPr>
        <w:pStyle w:val="Heading6"/>
        <w:ind w:left="880"/>
      </w:pPr>
      <w:r>
        <w:t>十一　財務諸表（通則法第三十八条第一項に規定する財務諸表をいう。以下同じ。）の要約</w:t>
      </w:r>
    </w:p>
    <w:p>
      <w:pPr>
        <w:ind w:left="880"/>
      </w:pPr>
      <w:r>
        <w:br/>
      </w:r>
    </w:p>
    <w:p>
      <w:pPr>
        <w:pStyle w:val="Heading6"/>
        <w:ind w:left="880"/>
      </w:pPr>
      <w:r>
        <w:t>十二　財政状態及び運営状況の理事長による説明</w:t>
      </w:r>
    </w:p>
    <w:p>
      <w:pPr>
        <w:ind w:left="880"/>
      </w:pPr>
      <w:r>
        <w:br/>
      </w:r>
    </w:p>
    <w:p>
      <w:pPr>
        <w:pStyle w:val="Heading6"/>
        <w:ind w:left="880"/>
      </w:pPr>
      <w:r>
        <w:t>十三　内部統制の運用状況</w:t>
      </w:r>
    </w:p>
    <w:p>
      <w:pPr>
        <w:ind w:left="880"/>
      </w:pPr>
      <w:r>
        <w:br/>
      </w:r>
    </w:p>
    <w:p>
      <w:pPr>
        <w:pStyle w:val="Heading6"/>
        <w:ind w:left="880"/>
      </w:pPr>
      <w:r>
        <w:t>十四　機構に関する基礎的な情報</w:t>
      </w:r>
    </w:p>
    <w:p>
      <w:pPr>
        <w:ind w:left="880"/>
      </w:pPr>
      <w:r>
        <w:br/>
      </w:r>
    </w:p>
    <w:p>
      <w:pPr>
        <w:pStyle w:val="Heading4"/>
      </w:pPr>
      <w:r>
        <w:t>第十八条（財務諸表等の閲覧期間）</w:t>
      </w:r>
    </w:p>
    <w:p>
      <w:r>
        <w:t>機構に係る通則法第三十八条第三項の主務省令で定める期間は、五年とする。</w:t>
      </w:r>
    </w:p>
    <w:p>
      <w:pPr>
        <w:pStyle w:val="Heading4"/>
      </w:pPr>
      <w:r>
        <w:t>第十九条（通則法第三十八条第四項の主務省令で定める書類）</w:t>
      </w:r>
    </w:p>
    <w:p>
      <w:r>
        <w:t>機構に係る通則法第三十八条第四項の主務省令で定める書類は、連結貸借対照表、連結損益計算書、連結キャッシュ・フロー計算書、連結剰余金計算書及び連結附属明細書とする。</w:t>
      </w:r>
    </w:p>
    <w:p>
      <w:pPr>
        <w:pStyle w:val="Heading4"/>
      </w:pPr>
      <w:r>
        <w:t>第二十条（会計監査報告の作成）</w:t>
      </w:r>
    </w:p>
    <w:p>
      <w:r>
        <w:t>機構に係る通則法第三十九条第一項の規定による会計監査報告の作成については、この条の定めるところによる。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第二十一条（短期借入金の認可の申請）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第二十二条（通則法第四十八条の主務省令で定める重要な財産）</w:t>
      </w:r>
    </w:p>
    <w:p>
      <w:r>
        <w:t>機構に係る通則法第四十八条の主務省令で定める重要な財産は、土地及び建物とする。</w:t>
      </w:r>
    </w:p>
    <w:p>
      <w:pPr>
        <w:pStyle w:val="Heading4"/>
      </w:pPr>
      <w:r>
        <w:t>第二十三条（通則法第四十八条の主務省令で定める重要な財産の処分等の認可の申請）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第二十四条（積立金の処分に係る承認申請書の添付書類）</w:t>
      </w:r>
    </w:p>
    <w:p>
      <w:r>
        <w:t>機構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第二十五条（内部組織）</w:t>
      </w:r>
    </w:p>
    <w:p>
      <w:r>
        <w:t>機構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第二十六条（管理又は監督の地位）</w:t>
      </w:r>
    </w:p>
    <w:p>
      <w:r>
        <w:t>機構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第二条（砂糖生産振興資金）</w:t>
      </w:r>
    </w:p>
    <w:p>
      <w:r>
        <w:t>機構は、当分の間、機構法附則第六条第二項の規定により読み替えて適用される機構法第十二条第三号の業務に係る勘定に、砂糖生産振興資金を置くものとする。</w:t>
      </w:r>
    </w:p>
    <w:p>
      <w:pPr>
        <w:pStyle w:val="Heading5"/>
        <w:ind w:left="440"/>
      </w:pPr>
      <w:r>
        <w:t>２</w:t>
      </w:r>
    </w:p>
    <w:p>
      <w:pPr>
        <w:ind w:left="440"/>
      </w:pPr>
      <w:r>
        <w:t>砂糖生産振興資金の運用によって生じた利子その他当該資金の運用又は使用に伴い生ずる収入は、砂糖生産振興資金に充てるものとする。</w:t>
      </w:r>
    </w:p>
    <w:p>
      <w:pPr>
        <w:pStyle w:val="Heading5"/>
        <w:ind w:left="440"/>
      </w:pPr>
      <w:r>
        <w:t>３</w:t>
      </w:r>
    </w:p>
    <w:p>
      <w:pPr>
        <w:ind w:left="440"/>
      </w:pPr>
      <w:r>
        <w:t>砂糖生産振興資金は、通則法第四十六条の二の規定により国庫に納付する場合及び通則法第四十七条の規定により運用する場合のほか、機構法第十二条第三号の業務に係る勘定において前事業年度から繰り越された損失がある場合にその補てんに充てる場合に限り、使用することができる。</w:t>
      </w:r>
    </w:p>
    <w:p>
      <w:pPr>
        <w:pStyle w:val="Heading4"/>
      </w:pPr>
      <w:r>
        <w:t>第三条（債務保証勘定に係る読替え）</w:t>
      </w:r>
    </w:p>
    <w:p>
      <w:r>
        <w:t>機構法附則第七条第一項の規定により機構が同項に規定する業務を行う場合には、第十条第三項中「機構法第十二条」とあるのは「機構法第十二条及び機構法附則第七条第二項」とする。</w:t>
      </w:r>
    </w:p>
    <w:p>
      <w:pPr>
        <w:pStyle w:val="Heading4"/>
      </w:pPr>
      <w:r>
        <w:t>第四条（野菜供給安定基金の財務及び会計に関する省令等の廃止）</w:t>
      </w:r>
    </w:p>
    <w:p>
      <w:r>
        <w:t>次に掲げる省令は、廃止する。</w:t>
      </w:r>
    </w:p>
    <w:p>
      <w:pPr>
        <w:pStyle w:val="Heading6"/>
        <w:ind w:left="880"/>
      </w:pPr>
      <w:r>
        <w:t>一</w:t>
      </w:r>
    </w:p>
    <w:p>
      <w:pPr>
        <w:ind w:left="880"/>
      </w:pPr>
      <w:r>
        <w:t>野菜供給安定基金の財務及び会計に関する省令（昭和五十一年農林省令第四十二号）</w:t>
      </w:r>
    </w:p>
    <w:p>
      <w:pPr>
        <w:pStyle w:val="Heading6"/>
        <w:ind w:left="880"/>
      </w:pPr>
      <w:r>
        <w:t>二</w:t>
      </w:r>
    </w:p>
    <w:p>
      <w:pPr>
        <w:ind w:left="880"/>
      </w:pPr>
      <w:r>
        <w:t>農畜産業振興事業団の財務及び会計に関する省令（平成八年農林水産省令第四十八号）</w:t>
      </w:r>
    </w:p>
    <w:p>
      <w:pPr>
        <w:pStyle w:val="Heading4"/>
      </w:pPr>
      <w:r>
        <w:t>第五条（経過措置）</w:t>
      </w:r>
    </w:p>
    <w:p>
      <w:r>
        <w:t>機構法附則第三条第一項の規定により機構が農畜産業振興事業団（以下「事業団」という。）の権利及び義務を承継したときは、その承継の際、機構法附則第九条の規定による廃止前の農畜産業振興事業団法（平成八年法律第五十三号。以下「旧事業団法」という。）第三十八条第一項の資金として管理されている金額は、第十条第一項の畜産業振興資金として管理するものとする。</w:t>
      </w:r>
    </w:p>
    <w:p>
      <w:pPr>
        <w:pStyle w:val="Heading5"/>
        <w:ind w:left="440"/>
      </w:pPr>
      <w:r>
        <w:t>２</w:t>
      </w:r>
    </w:p>
    <w:p>
      <w:pPr>
        <w:ind w:left="440"/>
      </w:pPr>
      <w:r>
        <w:t>機構法附則第三条第一項の規定により機構が事業団の権利及び義務を承継したときは、その承継の際、旧事業団法第三十九条第一項の蚕糸業振興資金として管理されている金額は、第十二条第一項の蚕糸業振興資金として管理するものとする。</w:t>
      </w:r>
    </w:p>
    <w:p>
      <w:pPr>
        <w:pStyle w:val="Heading5"/>
        <w:ind w:left="440"/>
      </w:pPr>
      <w:r>
        <w:t>３</w:t>
      </w:r>
    </w:p>
    <w:p>
      <w:pPr>
        <w:ind w:left="440"/>
      </w:pPr>
      <w:r>
        <w:t>機構法附則第三条第一項の規定により機構が事業団の権利及び義務を承継したときは、その承継の際、旧事業団法附則第十三条第一項の砂糖生産振興資金として管理されている金額は、附則第二条第一項の砂糖生産振興資金として管理するものとする。</w:t>
      </w:r>
    </w:p>
    <w:p>
      <w:pPr>
        <w:pStyle w:val="Heading5"/>
        <w:ind w:left="440"/>
      </w:pPr>
      <w:r>
        <w:t>４</w:t>
      </w:r>
    </w:p>
    <w:p>
      <w:pPr>
        <w:ind w:left="440"/>
      </w:pPr>
      <w:r>
        <w:t>機構法附則第四条第一項の規定により機構が野菜供給安定基金の権利及び義務を承継したときは、その承継の際、機構法附則第十一条の規定による改正前の野菜生産出荷安定法第十九条の資金として管理されている金額は、第十一条第一項の野菜生産出荷安定資金として管理するものとする。</w:t>
      </w:r>
    </w:p>
    <w:p>
      <w:pPr>
        <w:pStyle w:val="Heading4"/>
      </w:pPr>
      <w:r>
        <w:t>第六条</w:t>
      </w:r>
    </w:p>
    <w:p>
      <w:r>
        <w:t>機構の設立の際機構法附則第三条第六項の規定により政府から出資があったものとされる資産のうち旧事業団法第三十一条第一項第四号の業務に係る勘定に属する償却資産については、第十三条第一項の指定を受けたものとみなして、同条第二項の規定を適用する。</w:t>
      </w:r>
    </w:p>
    <w:p>
      <w:r>
        <w:br w:type="page"/>
      </w:r>
    </w:p>
    <w:p>
      <w:pPr>
        <w:pStyle w:val="Heading1"/>
      </w:pPr>
      <w:r>
        <w:t>附　則（平成一八年九月二八日農林水産省令第七九号）</w:t>
      </w:r>
    </w:p>
    <w:p>
      <w:pPr>
        <w:pStyle w:val="Heading4"/>
      </w:pPr>
      <w:r>
        <w:t>第一条（施行期日）</w:t>
      </w:r>
    </w:p>
    <w:p>
      <w:r>
        <w:t>この省令は、平成十九年四月一日から施行する。</w:t>
      </w:r>
    </w:p>
    <w:p>
      <w:r>
        <w:br w:type="page"/>
      </w:r>
    </w:p>
    <w:p>
      <w:pPr>
        <w:pStyle w:val="Heading1"/>
      </w:pPr>
      <w:r>
        <w:t>附　則（平成一八年一二月一五日農林水産省令第九二号）</w:t>
      </w:r>
    </w:p>
    <w:p>
      <w:r>
        <w:t>この省令は、平成十九年四月一日から施行する。</w:t>
      </w:r>
    </w:p>
    <w:p>
      <w:r>
        <w:br w:type="page"/>
      </w:r>
    </w:p>
    <w:p>
      <w:pPr>
        <w:pStyle w:val="Heading1"/>
      </w:pPr>
      <w:r>
        <w:t>附　則（平成二〇年四月一一日農林水産省令第三一号）</w:t>
      </w:r>
    </w:p>
    <w:p>
      <w:r>
        <w:t>この省令は、公布の日から施行する。</w:t>
      </w:r>
    </w:p>
    <w:p>
      <w:r>
        <w:br w:type="page"/>
      </w:r>
    </w:p>
    <w:p>
      <w:pPr>
        <w:pStyle w:val="Heading1"/>
      </w:pPr>
      <w:r>
        <w:t>附　則（平成二〇年八月一日農林水産省令第五三号）</w:t>
      </w:r>
    </w:p>
    <w:p>
      <w:r>
        <w:t>この省令は、公布の日から施行する。</w:t>
      </w:r>
    </w:p>
    <w:p>
      <w:r>
        <w:br w:type="page"/>
      </w:r>
    </w:p>
    <w:p>
      <w:pPr>
        <w:pStyle w:val="Heading1"/>
      </w:pPr>
      <w:r>
        <w:t>附　則（平成二二年五月一四日農林水産省令第三九号）</w:t>
      </w:r>
    </w:p>
    <w:p>
      <w:r>
        <w:t>この省令は、公布の日から施行し、改正後の独立行政法人農畜産業振興機構法施行規則第二条並びに独立行政法人農畜産業振興機構の業務運営並びに財務及び会計に関する省令第一条第二号及び第四号並びに第十条第二項及び第四項の規定は、平成二十二年度の事業年度から適用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則（平成二三年三月三一日農林水産省令第一四号）</w:t>
      </w:r>
    </w:p>
    <w:p>
      <w:r>
        <w:t>この省令は、平成二十三年四月一日から施行する。</w:t>
      </w:r>
    </w:p>
    <w:p>
      <w:r>
        <w:br w:type="page"/>
      </w:r>
    </w:p>
    <w:p>
      <w:pPr>
        <w:pStyle w:val="Heading1"/>
      </w:pPr>
      <w:r>
        <w:t>附　則（平成二五年四月一日農林水産省令第二八号）</w:t>
      </w:r>
    </w:p>
    <w:p>
      <w:r>
        <w:t>この省令は、公布の日から施行する。</w:t>
      </w:r>
    </w:p>
    <w:p>
      <w:r>
        <w:br w:type="page"/>
      </w:r>
    </w:p>
    <w:p>
      <w:pPr>
        <w:pStyle w:val="Heading1"/>
      </w:pPr>
      <w:r>
        <w:t>附　則（平成二七年三月二七日農林水産省令第三〇号）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畜産業振興機構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新省令第十七条第三項の規定は、この省令の施行の日以後に開始する事業年度に係る事業報告書から適用する。</w:t>
      </w:r>
    </w:p>
    <w:p>
      <w:r>
        <w:br w:type="page"/>
      </w:r>
    </w:p>
    <w:p>
      <w:pPr>
        <w:pStyle w:val="Heading1"/>
      </w:pPr>
      <w:r>
        <w:t>附　則（平成二八年四月一日農林水産省令第二九号）</w:t>
      </w:r>
    </w:p>
    <w:p>
      <w:pPr>
        <w:pStyle w:val="Heading4"/>
      </w:pPr>
      <w:r>
        <w:t>第一条（施行期日）</w:t>
      </w:r>
    </w:p>
    <w:p>
      <w:r>
        <w:t>この省令は、平成二十八年四月一日から施行する。</w:t>
      </w:r>
    </w:p>
    <w:p>
      <w:pPr>
        <w:pStyle w:val="Heading4"/>
      </w:pPr>
      <w:r>
        <w:t>第二条（野菜農業振興資金の廃止に伴う経過措置）</w:t>
      </w:r>
    </w:p>
    <w:p>
      <w:r>
        <w:t>独立行政法人農畜産業振興機構は、この省令の施行の日において、この省令による改正前の独立行政法人農畜産業振興機構の業務運営、財務及び会計並びに人事管理に関する省令第十二条第一項の野菜農業振興資金を廃止するものとし、その廃止の際当該野菜農業振興資金に属する資産及び負債については、この省令による改正後の独立行政法人農畜産業振興機構の業務運営、財務及び会計並びに人事管理に関する省令第十二条第一項の野菜生産出荷安定資金に帰属させるものとする。</w:t>
      </w:r>
    </w:p>
    <w:p>
      <w:r>
        <w:br w:type="page"/>
      </w:r>
    </w:p>
    <w:p>
      <w:pPr>
        <w:pStyle w:val="Heading1"/>
      </w:pPr>
      <w:r>
        <w:t>附　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三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前項の規定により指定された者は、この省令の施行の日（以下「施行日」という。）において新施行規則第三条第三号の規定により指定されたものとみなす。</w:t>
      </w:r>
    </w:p>
    <w:p>
      <w:r>
        <w:br w:type="page"/>
      </w:r>
    </w:p>
    <w:p>
      <w:pPr>
        <w:pStyle w:val="Heading1"/>
      </w:pPr>
      <w:r>
        <w:t>附　則（平成二九年一月二五日農林水産省令第六号）</w:t>
      </w:r>
    </w:p>
    <w:p>
      <w:r>
        <w:t>この省令は、環太平洋パートナーシップに関する包括的及び先進的な協定が日本国について効力を生ずる日から施行する。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　則（平成二九年一〇月二七日農林水産省令第六一号）</w:t>
      </w:r>
    </w:p>
    <w:p>
      <w:r>
        <w:t>この省令は、平成三十年四月一日から施行する。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Heading6"/>
        <w:ind w:left="880"/>
      </w:pPr>
      <w:r>
        <w:t>一</w:t>
      </w:r>
    </w:p>
    <w:p>
      <w:pPr>
        <w:ind w:left="880"/>
      </w:pPr>
      <w: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Heading6"/>
        <w:ind w:left="880"/>
      </w:pPr>
      <w:r>
        <w:t>二</w:t>
      </w:r>
    </w:p>
    <w:p>
      <w:pPr>
        <w:ind w:left="880"/>
      </w:pPr>
      <w:r>
        <w:t>第一号対象事業者（新畜安法第九条第一項に規定する第一号対象事業者をいう。）又は第二号対象事業者（第二号対象事業を行う対象事業者をいう。）にあつては、生乳の検査方法を証する書類</w:t>
      </w:r>
    </w:p>
    <w:p>
      <w:pPr>
        <w:pStyle w:val="Heading6"/>
        <w:ind w:left="880"/>
      </w:pPr>
      <w:r>
        <w:t>三</w:t>
      </w:r>
    </w:p>
    <w:p>
      <w:pPr>
        <w:ind w:left="880"/>
      </w:pPr>
      <w:r>
        <w:t>前二号に掲げる書類のほか、農林水産大臣が新畜安法第五条第三項の規定による通知をするかどうかの判断に関し必要と認める書類</w:t>
      </w:r>
    </w:p>
    <w:p>
      <w:r>
        <w:br w:type="page"/>
      </w:r>
    </w:p>
    <w:p>
      <w:pPr>
        <w:pStyle w:val="Heading1"/>
      </w:pPr>
      <w:r>
        <w:t>附　則（平成三〇年三月二六日農林水産省令第一三号）</w:t>
      </w:r>
    </w:p>
    <w:p>
      <w:r>
        <w:t>この省令は、平成三十年三月三十一日から施行する。</w:t>
      </w:r>
    </w:p>
    <w:p>
      <w:r>
        <w:br w:type="page"/>
      </w:r>
    </w:p>
    <w:p>
      <w:pPr>
        <w:pStyle w:val="Heading1"/>
      </w:pPr>
      <w:r>
        <w:t>附　則（平成三〇年七月二三日農林水産省令第四七号）</w:t>
      </w:r>
    </w:p>
    <w:p>
      <w:r>
        <w:t>この省令は、公布の日から施行する。</w:t>
      </w:r>
    </w:p>
    <w:p>
      <w:r>
        <w:br w:type="page"/>
      </w:r>
    </w:p>
    <w:p>
      <w:pPr>
        <w:pStyle w:val="Heading1"/>
      </w:pPr>
      <w:r>
        <w:t>附　則（平成三〇年七月二三日農林水産省令第四九号）</w:t>
      </w:r>
    </w:p>
    <w:p>
      <w:r>
        <w:t>この省令は、公布の日から施行する。</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八</w:t>
      </w:r>
    </w:p>
    <w:p>
      <w:pPr>
        <w:ind w:left="880"/>
      </w:pPr>
      <w:r>
        <w:t>独立行政法人農畜産業振興機構の業務運営、財務及び会計並びに人事管理に関する省令第十六条及び第十七条第二項</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独立行政法人農畜産業振興機構の業務運営、財務及び会計並びに人事管理に関する省令</w:t>
      <w:br/>
      <w:tab/>
      <w:t>（平成十五年農林水産省令第百四号）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独立行政法人農畜産業振興機構の業務運営、財務及び会計並びに人事管理に関する省令（平成十五年農林水産省令第百四号）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