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独立行政法人酒類総合研究所に関する省令</w:t>
        <w:br/>
        <w:t>（平成十三年財務省令第六号）</w:t>
      </w:r>
    </w:p>
    <w:p>
      <w:pPr>
        <w:pStyle w:val="Heading4"/>
      </w:pPr>
      <w:r>
        <w:t>第一条（通則法第八条第三項に規定する主務省令で定める重要な財産）</w:t>
      </w:r>
    </w:p>
    <w:p>
      <w:r>
        <w:t>独立行政法人酒類総合研究所（以下「研究所」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る処分が不適当なものを除く。）その他財務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独立行政法人酒類総合研究所法（平成十一年法律第百六十四号。以下「研究所法」という。）の規定に基づき財務大臣に提出する書類とする。</w:t>
      </w:r>
    </w:p>
    <w:p>
      <w:pPr>
        <w:pStyle w:val="Heading4"/>
      </w:pPr>
      <w:r>
        <w:t>第四条（業務方法書の記載事項）</w:t>
      </w:r>
    </w:p>
    <w:p>
      <w:r>
        <w:t>研究所に係る通則法第二十八条第二項に規定する主務省令で定める事項は、次のとおりとする。</w:t>
      </w:r>
    </w:p>
    <w:p>
      <w:pPr>
        <w:pStyle w:val="Heading6"/>
        <w:ind w:left="880"/>
      </w:pPr>
      <w:r>
        <w:t>一</w:t>
      </w:r>
    </w:p>
    <w:p>
      <w:pPr>
        <w:ind w:left="880"/>
      </w:pPr>
      <w:r>
        <w:t>研究所法第十二条第一号に規定する分析及び鑑定に関する事項</w:t>
      </w:r>
    </w:p>
    <w:p>
      <w:pPr>
        <w:pStyle w:val="Heading6"/>
        <w:ind w:left="880"/>
      </w:pPr>
      <w:r>
        <w:t>二</w:t>
      </w:r>
    </w:p>
    <w:p>
      <w:pPr>
        <w:ind w:left="880"/>
      </w:pPr>
      <w:r>
        <w:t>研究所法第十二条第二号に規定する品質に関する評価に関する事項</w:t>
      </w:r>
    </w:p>
    <w:p>
      <w:pPr>
        <w:pStyle w:val="Heading6"/>
        <w:ind w:left="880"/>
      </w:pPr>
      <w:r>
        <w:t>三</w:t>
      </w:r>
    </w:p>
    <w:p>
      <w:pPr>
        <w:ind w:left="880"/>
      </w:pPr>
      <w:r>
        <w:t>研究所法第十二条第三号に規定する研究及び調査に関する事項</w:t>
      </w:r>
    </w:p>
    <w:p>
      <w:pPr>
        <w:pStyle w:val="Heading6"/>
        <w:ind w:left="880"/>
      </w:pPr>
      <w:r>
        <w:t>四</w:t>
      </w:r>
    </w:p>
    <w:p>
      <w:pPr>
        <w:ind w:left="880"/>
      </w:pPr>
      <w:r>
        <w:t>研究所法第十二条第四号に規定する成果の普及に関する事項</w:t>
      </w:r>
    </w:p>
    <w:p>
      <w:pPr>
        <w:pStyle w:val="Heading6"/>
        <w:ind w:left="880"/>
      </w:pPr>
      <w:r>
        <w:t>五</w:t>
      </w:r>
    </w:p>
    <w:p>
      <w:pPr>
        <w:ind w:left="880"/>
      </w:pPr>
      <w:r>
        <w:t>研究所法第十二条第五号に規定する情報の収集、整理及び提供に関する事項</w:t>
      </w:r>
    </w:p>
    <w:p>
      <w:pPr>
        <w:pStyle w:val="Heading6"/>
        <w:ind w:left="880"/>
      </w:pPr>
      <w:r>
        <w:t>六</w:t>
      </w:r>
    </w:p>
    <w:p>
      <w:pPr>
        <w:ind w:left="880"/>
      </w:pPr>
      <w:r>
        <w:t>研究所法第十二条第六号に規定する講習に関する事項</w:t>
      </w:r>
    </w:p>
    <w:p>
      <w:pPr>
        <w:pStyle w:val="Heading6"/>
        <w:ind w:left="880"/>
      </w:pPr>
      <w:r>
        <w:t>七</w:t>
      </w:r>
    </w:p>
    <w:p>
      <w:pPr>
        <w:ind w:left="880"/>
      </w:pPr>
      <w:r>
        <w:t>業務の委託に関する基準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その他業務の執行に関して必要な事項</w:t>
      </w:r>
    </w:p>
    <w:p>
      <w:pPr>
        <w:pStyle w:val="Heading4"/>
      </w:pPr>
      <w:r>
        <w:t>第五条（中期計画の認可の申請）</w:t>
      </w:r>
    </w:p>
    <w:p>
      <w:r>
        <w:t>研究所は、通則法第三十条第一項の規定により中期計画の認可を受けようとするときは、当該中期計画の最初の事業年度開始の日の三十日前までに（研究所の成立後最初の中期計画については、その成立後遅滞なく）、当該中期計画を記載した申請書を財務大臣に提出しなければならない。</w:t>
      </w:r>
    </w:p>
    <w:p>
      <w:pPr>
        <w:pStyle w:val="Heading5"/>
        <w:ind w:left="440"/>
      </w:pPr>
      <w:r>
        <w:t>２</w:t>
      </w:r>
    </w:p>
    <w:p>
      <w:pPr>
        <w:ind w:left="440"/>
      </w:pPr>
      <w:r>
        <w:t>研究所は、通則法第三十条第一項後段の規定により中期計画の変更の認可を受けようとするときは、変更しようとする事項及びその理由を記載した申請書を財務大臣に提出しなければならない。</w:t>
      </w:r>
    </w:p>
    <w:p>
      <w:pPr>
        <w:pStyle w:val="Heading4"/>
      </w:pPr>
      <w:r>
        <w:t>第六条（中期計画の記載事項）</w:t>
      </w:r>
    </w:p>
    <w:p>
      <w:r>
        <w:t>研究所に係る通則法第三十条第二項第八号に規定する主務省令で定める業務運営に関する事項は、施設及び設備に関する計画、人事に関する計画、積立金の処分に関する計画その他当該中期目標を達成するために必要な事項とする。</w:t>
      </w:r>
    </w:p>
    <w:p>
      <w:pPr>
        <w:pStyle w:val="Heading4"/>
      </w:pPr>
      <w:r>
        <w:t>第七条（年度計画の記載事項等）</w:t>
      </w:r>
    </w:p>
    <w:p>
      <w:r>
        <w:t>研究所に係る通則法第三十一条第一項の年度計画には、中期計画に定めた事項に関し、当該事業年度において実施すべき事項を記載しなければならない。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研究所は、通則法第三十一条第一項後段の規定により年度計画の変更をしたときは、変更した事項及びその理由を記載した届出書を財務大臣に提出しなければならない。</w:t>
      </w:r>
    </w:p>
    <w:p>
      <w:pPr>
        <w:pStyle w:val="Heading4"/>
      </w:pPr>
      <w:r>
        <w:t>第八条（業務実績等報告書）</w:t>
      </w:r>
    </w:p>
    <w:p>
      <w:r>
        <w:t>研究所に係る通則法第三十二条第二項の報告書には、当該報告書が次の表の上欄に掲げる報告書のいずれに該当するかに応じ、同表の下欄に掲げる事項を記載しなければならない。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研究所は、前項に規定する報告書を財務大臣に提出したときは、速やかに、当該報告書をインターネットの利用その他の適切な方法により公表するものとする。</w:t>
      </w:r>
    </w:p>
    <w:p>
      <w:pPr>
        <w:pStyle w:val="Heading4"/>
      </w:pPr>
      <w:r>
        <w:t>第九条（企業会計原則等）</w:t>
      </w:r>
    </w:p>
    <w:p>
      <w:r>
        <w:t>研究所の会計については、この省令に定めるところにより、この省令に定めのないものについては、一般に公正妥当と認められる企業会計の基準に従うものとする。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において「独立行政法人会計基準」という。）は、この省令に準ずるものとして、第一項に規定する一般に公正妥当と認められる企業会計の基準に優先して適用されるものとする。</w:t>
      </w:r>
    </w:p>
    <w:p>
      <w:pPr>
        <w:pStyle w:val="Heading4"/>
      </w:pPr>
      <w:r>
        <w:t>第十条（譲渡差額を損益計算上の損益に計上しない譲渡取引）</w:t>
      </w:r>
    </w:p>
    <w:p>
      <w:r>
        <w:t>財務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第十一条（対応する収益の獲得が予定されない資産除去債務に係る除去費用等）</w:t>
      </w:r>
    </w:p>
    <w:p>
      <w:r>
        <w:t>財務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第十二条（収益の獲得が予定されない償却資産）</w:t>
      </w:r>
    </w:p>
    <w:p>
      <w:r>
        <w:t>財務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第十三条（財務諸表）</w:t>
      </w:r>
    </w:p>
    <w:p>
      <w:r>
        <w:t>研究所に係る通則法第三十八条第一項に規定する主務省令で定める書類は、独立行政法人会計基準にいう行政コスト計算書、純資産計算書及びキャッシュ・フロー計算書とする。</w:t>
      </w:r>
    </w:p>
    <w:p>
      <w:pPr>
        <w:pStyle w:val="Heading4"/>
      </w:pPr>
      <w:r>
        <w:t>第十四条（事業報告書の作成）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中期目標の概要</w:t>
      </w:r>
    </w:p>
    <w:p>
      <w:pPr>
        <w:pStyle w:val="Heading6"/>
        <w:ind w:left="880"/>
      </w:pPr>
      <w:r>
        <w:t>四</w:t>
      </w:r>
    </w:p>
    <w:p>
      <w:pPr>
        <w:ind w:left="880"/>
      </w:pPr>
      <w:r>
        <w:t>研究所の長の理念並びに運営上の方針及び戦略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業務運営上の課題並びにリスクの状況及び対応策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財政状態及び運営状況の研究所の長による説明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第十五条（閲覧期間）</w:t>
      </w:r>
    </w:p>
    <w:p>
      <w:r>
        <w:t>研究所に係る通則法第三十八条第三項に規定する主務省令で定める期間は、五年とする。</w:t>
      </w:r>
    </w:p>
    <w:p>
      <w:pPr>
        <w:pStyle w:val="Heading4"/>
      </w:pPr>
      <w:r>
        <w:t>第十六条（積立金の処分に係る承認申請書の添付書類）</w:t>
      </w:r>
    </w:p>
    <w:p>
      <w:r>
        <w:t>研究所に係る独立行政法人の組織、運営及び管理に係る共通的な事項に関する政令（平成十二年政令第三百十六号）第二十一条第二項に規定する財務省令で定める書類は、次に掲げるものとする。</w:t>
      </w:r>
    </w:p>
    <w:p>
      <w:pPr>
        <w:pStyle w:val="Heading6"/>
        <w:ind w:left="880"/>
      </w:pPr>
      <w:r>
        <w:t>一</w:t>
      </w:r>
    </w:p>
    <w:p>
      <w:pPr>
        <w:ind w:left="880"/>
      </w:pPr>
      <w:r>
        <w:t>当該中期目標の期間の最後の事業年度末の貸借対照表</w:t>
      </w:r>
    </w:p>
    <w:p>
      <w:pPr>
        <w:pStyle w:val="Heading6"/>
        <w:ind w:left="880"/>
      </w:pPr>
      <w:r>
        <w:t>二</w:t>
      </w:r>
    </w:p>
    <w:p>
      <w:pPr>
        <w:ind w:left="880"/>
      </w:pPr>
      <w:r>
        <w:t>当該中期目標の期間の最後の事業年度の損益計算書</w:t>
      </w:r>
    </w:p>
    <w:p>
      <w:pPr>
        <w:pStyle w:val="Heading6"/>
        <w:ind w:left="880"/>
      </w:pPr>
      <w:r>
        <w:t>三</w:t>
      </w:r>
    </w:p>
    <w:p>
      <w:pPr>
        <w:ind w:left="880"/>
      </w:pPr>
      <w:r>
        <w:t>承認を受けようとする金額の計算の基礎を明らかにした書類</w:t>
      </w:r>
    </w:p>
    <w:p>
      <w:pPr>
        <w:pStyle w:val="Heading4"/>
      </w:pPr>
      <w:r>
        <w:t>第十七条（短期借入金の認可の申請）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利息の支払の方法及び期間</w:t>
      </w:r>
    </w:p>
    <w:p>
      <w:pPr>
        <w:pStyle w:val="Heading6"/>
        <w:ind w:left="880"/>
      </w:pPr>
      <w:r>
        <w:t>七</w:t>
      </w:r>
    </w:p>
    <w:p>
      <w:pPr>
        <w:ind w:left="880"/>
      </w:pPr>
      <w:r>
        <w:t>その他必要な事項</w:t>
      </w:r>
    </w:p>
    <w:p>
      <w:pPr>
        <w:pStyle w:val="Heading4"/>
      </w:pPr>
      <w:r>
        <w:t>第十八条（通則法第四十八条に規定する主務省令で定める重要な財産）</w:t>
      </w:r>
    </w:p>
    <w:p>
      <w:r>
        <w:t>研究所に係る通則法第四十八条に規定する主務省令で定める重要な財産は、次に掲げるものとする。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その他財務大臣が指定する財産</w:t>
      </w:r>
    </w:p>
    <w:p>
      <w:pPr>
        <w:pStyle w:val="Heading4"/>
      </w:pPr>
      <w:r>
        <w:t>第十九条（通則法第四十八条に規定する主務省令で定める重要な財産の処分等の認可の申請）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財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第二十条（内部組織）</w:t>
      </w:r>
    </w:p>
    <w:p>
      <w:r>
        <w:t>研究所に係る通則法第五十条の六第一号に規定する離職前五年間に在職していた当該中期目標管理法人の内部組織として主務省令で定めるものは、現に存する理事長の直近下位の内部組織として財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財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研究所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財務大臣が定めるものとする。</w:t>
      </w:r>
    </w:p>
    <w:p>
      <w:pPr>
        <w:pStyle w:val="Heading4"/>
      </w:pPr>
      <w:r>
        <w:t>第二十二条（出資財産等に係る評価に関する庶務）</w:t>
      </w:r>
    </w:p>
    <w:p>
      <w:r>
        <w:t>研究所法附則第五条第三項の規定による評価に関する庶務は、国税庁課税部において処理する。</w:t>
      </w:r>
    </w:p>
    <w:p>
      <w:r>
        <w:br w:type="page"/>
      </w:r>
    </w:p>
    <w:p>
      <w:pPr>
        <w:pStyle w:val="Heading1"/>
      </w:pPr>
      <w:r>
        <w:t>附　則</w:t>
      </w:r>
    </w:p>
    <w:p>
      <w:pPr>
        <w:pStyle w:val="Heading4"/>
      </w:pPr>
      <w:r>
        <w:t>第一条（施行期日）</w:t>
      </w:r>
    </w:p>
    <w:p>
      <w:r>
        <w:t>この省令は、公布の日から施行する。</w:t>
      </w:r>
    </w:p>
    <w:p>
      <w:pPr>
        <w:pStyle w:val="Heading4"/>
      </w:pPr>
      <w:r>
        <w:t>第二条（収益の獲得が予定されない償却資産に係る経過措置）</w:t>
      </w:r>
    </w:p>
    <w:p>
      <w:r>
        <w:t>研究所法附則第五条第二項の規定により政府から出資があったものとされた償却資産は、第九条の規定による財務大臣の指定がその取得までの間にあったものとみなす。</w:t>
      </w:r>
    </w:p>
    <w:p>
      <w:r>
        <w:br w:type="page"/>
      </w:r>
    </w:p>
    <w:p>
      <w:pPr>
        <w:pStyle w:val="Heading1"/>
      </w:pPr>
      <w:r>
        <w:t>附　則（平成一八年三月三一日財務省令第三四号）</w:t>
      </w:r>
    </w:p>
    <w:p>
      <w:r>
        <w:t>この省令は、平成十八年四月一日から施行する。</w:t>
      </w:r>
    </w:p>
    <w:p>
      <w:r>
        <w:br w:type="page"/>
      </w:r>
    </w:p>
    <w:p>
      <w:pPr>
        <w:pStyle w:val="Heading1"/>
      </w:pPr>
      <w:r>
        <w:t>附　則（平成二二年一一月二六日財務省令第五五号）</w:t>
      </w:r>
    </w:p>
    <w:p>
      <w:r>
        <w:t>この省令は、独立行政法人通則法の一部を改正する法律の施行の日（平成二十二年十一月二十七日）から施行する。</w:t>
      </w:r>
    </w:p>
    <w:p>
      <w:r>
        <w:br w:type="page"/>
      </w:r>
    </w:p>
    <w:p>
      <w:pPr>
        <w:pStyle w:val="Heading1"/>
      </w:pPr>
      <w:r>
        <w:t>附　則（平成二七年三月三一日財務省令第一六号）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酒類総合研究所に関する省令（平成十三年財務省令第六号）第八条第一項の規定の適用については、同項の表中「通則法第二十九条第二項第二号に」とあるのは「独立行政法人通則法の一部を改正する法律（平成二十六年法律第六十六号）による改正前の通則法（以下「旧法」という。）第二十九条第二項第三号に」と、「同項第三号から第五号」とあるのは「同項第二号、第四号及び第五号」と、「通則法第二十九条第二項第二号から第五号」とあるのは「旧法第二十九条第二項第二号から第五号」とする。</w:t>
      </w:r>
    </w:p>
    <w:p>
      <w:pPr>
        <w:pStyle w:val="Heading4"/>
      </w:pPr>
      <w:r>
        <w:t>第三条（事業報告書の作成に係る経過措置）</w:t>
      </w:r>
    </w:p>
    <w:p>
      <w:r>
        <w:t>第十四条第三項の規定は、改正法の施行の日以後に開始する事業年度に係る事業報告書から適用する。</w:t>
      </w:r>
    </w:p>
    <w:p>
      <w:r>
        <w:br w:type="page"/>
      </w:r>
    </w:p>
    <w:p>
      <w:pPr>
        <w:pStyle w:val="Heading1"/>
      </w:pPr>
      <w:r>
        <w:t>附　則（平成三一年三月二九日財務省令第四号）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十三条及び第十四条第二項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独立行政法人酒類総合研究所に関する省令</w:t>
      <w:br/>
      <w:tab/>
      <w:t>（平成十三年財務省令第六号）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独立行政法人酒類総合研究所に関する省令（平成十三年財務省令第六号）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