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独立行政法人酒類総合研究所法</w:t>
        <w:br/>
        <w:t>（平成十一年法律第百六十四号）</w:t>
      </w:r>
    </w:p>
    <w:p>
      <w:pPr>
        <w:pStyle w:val="Heading2"/>
      </w:pPr>
      <w:r>
        <w:t>第一章　総則</w:t>
      </w:r>
    </w:p>
    <w:p>
      <w:pPr>
        <w:pStyle w:val="Heading4"/>
      </w:pPr>
      <w:r>
        <w:t>第一条（目的）</w:t>
      </w:r>
    </w:p>
    <w:p>
      <w:r>
        <w:t>この法律は、独立行政法人酒類総合研究所の名称、目的、業務の範囲等に関する事項を定めることを目的とする。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酒類総合研究所とする。</w:t>
      </w:r>
    </w:p>
    <w:p>
      <w:pPr>
        <w:pStyle w:val="Heading4"/>
      </w:pPr>
      <w:r>
        <w:t>第三条（研究所の目的）</w:t>
      </w:r>
    </w:p>
    <w:p>
      <w:r>
        <w:t>独立行政法人酒類総合研究所（以下「研究所」という。）は、酒類に関する高度な分析及び鑑定を行い、並びに酒類及び酒類業に関する研究、調査及び情報提供等を行うことにより、酒税の適正かつ公平な賦課の実現に資するとともに、酒類業の健全な発達を図り、あわせて酒類に対する国民の認識を高めることを目的とする。</w:t>
      </w:r>
    </w:p>
    <w:p>
      <w:pPr>
        <w:pStyle w:val="Heading4"/>
      </w:pPr>
      <w:r>
        <w:t>第三条の二（中期目標管理法人）</w:t>
      </w:r>
    </w:p>
    <w:p>
      <w:r>
        <w:t>研究所は、通則法第二条第二項に規定する中期目標管理法人とする。</w:t>
      </w:r>
    </w:p>
    <w:p>
      <w:pPr>
        <w:pStyle w:val="Heading4"/>
      </w:pPr>
      <w:r>
        <w:t>第四条（事務所）</w:t>
      </w:r>
    </w:p>
    <w:p>
      <w:r>
        <w:t>研究所は、主たる事務所を広島県に置く。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研究所の理事の解任に関する通則法第二十三条第一項の規定の適用については、同項中「前条」とあるのは、「前条及び独立行政法人酒類総合研究所法第九条第一項」とする。</w:t>
      </w:r>
    </w:p>
    <w:p>
      <w:pPr>
        <w:pStyle w:val="Heading4"/>
      </w:pPr>
      <w:r>
        <w:t>第十条（役員及び職員の秘密保持義務）</w:t>
      </w:r>
    </w:p>
    <w:p>
      <w:r>
        <w:t>研究所の役員及び職員は、職務上知ることのできた秘密を漏らし、又は盗用してはならない。</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Heading6"/>
        <w:ind w:left="880"/>
      </w:pPr>
      <w:r>
        <w:t>一</w:t>
      </w:r>
    </w:p>
    <w:p>
      <w:pPr>
        <w:ind w:left="880"/>
      </w:pPr>
      <w:r>
        <w:t>酒類の高度な分析及び鑑定（これらに伴う手法の開発を含む。）を行うこと。</w:t>
      </w:r>
    </w:p>
    <w:p>
      <w:pPr>
        <w:pStyle w:val="Heading6"/>
        <w:ind w:left="880"/>
      </w:pPr>
      <w:r>
        <w:t>二</w:t>
      </w:r>
    </w:p>
    <w:p>
      <w:pPr>
        <w:ind w:left="880"/>
      </w:pPr>
      <w:r>
        <w:t>酒類の品質に関する評価を行うこと。</w:t>
      </w:r>
    </w:p>
    <w:p>
      <w:pPr>
        <w:pStyle w:val="Heading6"/>
        <w:ind w:left="880"/>
      </w:pPr>
      <w:r>
        <w:t>三</w:t>
      </w:r>
    </w:p>
    <w:p>
      <w:pPr>
        <w:ind w:left="880"/>
      </w:pPr>
      <w:r>
        <w:t>酒類及び酒類業に関する研究及び調査を行うこと。</w:t>
      </w:r>
    </w:p>
    <w:p>
      <w:pPr>
        <w:pStyle w:val="Heading6"/>
        <w:ind w:left="880"/>
      </w:pPr>
      <w:r>
        <w:t>四</w:t>
      </w:r>
    </w:p>
    <w:p>
      <w:pPr>
        <w:ind w:left="880"/>
      </w:pPr>
      <w:r>
        <w:t>前三号に掲げる業務に係る成果の普及を行うこと。</w:t>
      </w:r>
    </w:p>
    <w:p>
      <w:pPr>
        <w:pStyle w:val="Heading6"/>
        <w:ind w:left="880"/>
      </w:pPr>
      <w:r>
        <w:t>五</w:t>
      </w:r>
    </w:p>
    <w:p>
      <w:pPr>
        <w:ind w:left="880"/>
      </w:pPr>
      <w:r>
        <w:t>酒類及び酒類業に関する情報の収集、整理及び提供を行うこと。</w:t>
      </w:r>
    </w:p>
    <w:p>
      <w:pPr>
        <w:pStyle w:val="Heading6"/>
        <w:ind w:left="880"/>
      </w:pPr>
      <w:r>
        <w:t>六</w:t>
      </w:r>
    </w:p>
    <w:p>
      <w:pPr>
        <w:ind w:left="880"/>
      </w:pPr>
      <w:r>
        <w:t>酒類及び酒類業に関する講習を行うこと。</w:t>
      </w:r>
    </w:p>
    <w:p>
      <w:pPr>
        <w:pStyle w:val="Heading6"/>
        <w:ind w:left="880"/>
      </w:pPr>
      <w:r>
        <w:t>七</w:t>
      </w:r>
    </w:p>
    <w:p>
      <w:pPr>
        <w:ind w:left="880"/>
      </w:pPr>
      <w:r>
        <w:t>前各号の業務に附帯する業務を行うこと。</w:t>
      </w:r>
    </w:p>
    <w:p>
      <w:pPr>
        <w:pStyle w:val="Heading4"/>
      </w:pPr>
      <w:r>
        <w:t>第十二条の二（株式等の取得及び保有）</w:t>
      </w:r>
    </w:p>
    <w:p>
      <w:r>
        <w:t>研究所は、科学技術・イノベーション創出の活性化に関する法律（平成二十年法律第六十三号）第三十四条の五第一項及び第二項の規定による株式又は新株予約権の取得及び保有を行うことができる。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研究所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財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研究所は、前項に規定する積立金の額に相当する金額から同項の規定による承認を受けた金額を控除してなお残余があるときは、その残余の額を国庫に納付しなければならない。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2"/>
      </w:pPr>
      <w:r>
        <w:t>第四章　雑則</w:t>
      </w:r>
    </w:p>
    <w:p>
      <w:pPr>
        <w:pStyle w:val="Heading4"/>
      </w:pPr>
      <w:r>
        <w:t>第十四条（特に必要がある場合の財務大臣の要求）</w:t>
      </w:r>
    </w:p>
    <w:p>
      <w:r>
        <w:t>財務大臣は、酒税の適正かつ公平な賦課の実現のため特に必要があると認めるときは、研究所に対し、第十二条第一号に掲げる業務に関し必要な措置をとることを求めることができる。</w:t>
      </w:r>
    </w:p>
    <w:p>
      <w:pPr>
        <w:pStyle w:val="Heading5"/>
        <w:ind w:left="440"/>
      </w:pPr>
      <w:r>
        <w:t>２</w:t>
      </w:r>
    </w:p>
    <w:p>
      <w:pPr>
        <w:ind w:left="440"/>
      </w:pPr>
      <w:r>
        <w:t>研究所は、財務大臣から前項の規定による求めがあったときは、正当な理由がない限り、その求めに応じなければならない。</w:t>
      </w:r>
    </w:p>
    <w:p>
      <w:pPr>
        <w:pStyle w:val="Heading4"/>
      </w:pPr>
      <w:r>
        <w:t>第十五条（主務大臣等）</w:t>
      </w:r>
    </w:p>
    <w:p>
      <w:r>
        <w:t>研究所に係る通則法における主務大臣及び主務省令は、それぞれ財務大臣及び財務省令とする。</w:t>
      </w:r>
    </w:p>
    <w:p>
      <w:pPr>
        <w:pStyle w:val="Heading2"/>
      </w:pPr>
      <w:r>
        <w:t>第五章　罰則</w:t>
      </w:r>
    </w:p>
    <w:p>
      <w:pPr>
        <w:pStyle w:val="Heading4"/>
      </w:pPr>
      <w:r>
        <w:t>第十六条</w:t>
      </w:r>
    </w:p>
    <w:p>
      <w:r>
        <w:t>第十条の規定に違反して秘密を漏らし、又は盗用した者は、一年以下の懲役又は五十万円以下の罰金に処する。</w:t>
      </w:r>
    </w:p>
    <w:p>
      <w:pPr>
        <w:pStyle w:val="Heading4"/>
      </w:pPr>
      <w:r>
        <w:t>第十七条</w:t>
      </w:r>
    </w:p>
    <w:p>
      <w:r>
        <w:t>次の各号のいずれかに該当する場合には、その違反行為をした研究所の役員は、二十万円以下の過料に処する。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第十三条第一項の規定により財務大臣の承認を受けなければならない場合において、その承認を受けなかったとき。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研究所の成立の際現に財務省の部局又は機関で政令で定めるものの職員である者は、別に辞令を発せられない限り、研究所の成立の日において、研究所の相当の職員となるものとする。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財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則（平成一八年三月三一日法律第二三号）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酒類総合研究所の職員である者は、別に辞令を発せられない限り、この法律の施行の日（以下「施行日」という。）において、引き続き独立行政法人酒類総合研究所の職員となるものとする。</w:t>
      </w:r>
    </w:p>
    <w:p>
      <w:pPr>
        <w:pStyle w:val="Heading4"/>
      </w:pPr>
      <w:r>
        <w:t>第三条</w:t>
      </w:r>
    </w:p>
    <w:p>
      <w:r>
        <w:t>前条の規定により独立行政法人酒類総合研究所（以下「施行日後の研究所」という。）の職員となった者に対する国家公務員法（昭和二十二年法律第百二十号）第八十二条第二項の規定の適用については、施行日後の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附則第二条の規定により施行日後の研究所の職員となる者に対しては、国家公務員退職手当法（昭和二十八年法律第百八十二号）に基づく退職手当は、支給しない。</w:t>
      </w:r>
    </w:p>
    <w:p>
      <w:pPr>
        <w:pStyle w:val="Heading5"/>
        <w:ind w:left="440"/>
      </w:pPr>
      <w:r>
        <w:t>２</w:t>
      </w:r>
    </w:p>
    <w:p>
      <w:pPr>
        <w:ind w:left="440"/>
      </w:pPr>
      <w:r>
        <w:t>施行日後の研究所は、前項の規定の適用を受けた施行日後の研究所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研究所の職員としての在職期間とみなして取り扱うべきものとする。</w:t>
      </w:r>
    </w:p>
    <w:p>
      <w:pPr>
        <w:pStyle w:val="Heading5"/>
        <w:ind w:left="440"/>
      </w:pPr>
      <w:r>
        <w:t>３</w:t>
      </w:r>
    </w:p>
    <w:p>
      <w:pPr>
        <w:ind w:left="440"/>
      </w:pPr>
      <w:r>
        <w:t>施行日の前日の独立行政法人酒類総合研究所（以下「施行日前の研究所」という。）に職員として在職する者が、附則第二条の規定により引き続いて施行日後の研究所の職員となり、かつ、引き続き施行日後の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研究所の職員としての在職期間を同項に規定する職員としての引き続いた在職期間とみなす。</w:t>
      </w:r>
    </w:p>
    <w:p>
      <w:pPr>
        <w:pStyle w:val="Heading5"/>
        <w:ind w:left="440"/>
      </w:pPr>
      <w:r>
        <w:t>４</w:t>
      </w:r>
    </w:p>
    <w:p>
      <w:pPr>
        <w:ind w:left="440"/>
      </w:pPr>
      <w:r>
        <w:t>施行日後の研究所は、施行日の前日に施行日前の研究所の職員として在職し、附則第二条の規定により引き続いて施行日後の研究所の職員となった者のうち施行日から雇用保険法（昭和四十九年法律第百十六号）による失業等給付の受給資格を取得するまでの間に施行日後の研究所を退職したものであって、その退職した日まで施行日前の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所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施行日後の研究所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所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独立行政法人酒類総合研究所法</w:t>
      <w:br/>
      <w:tab/>
      <w:t>（平成十一年法律第百六十四号）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独立行政法人酒類総合研究所法（平成十一年法律第百六十四号）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