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環境省の主管に係る一般会計の歳入について証券をもって納付しうる種目を定める省令</w:t>
        <w:br/>
        <w:t>（平成十二年総理府令第九十七号）</w:t>
      </w:r>
    </w:p>
    <w:p>
      <w:r>
        <w:t>環境省の主管に係る一般会計の歳入は、別段の定めのあるものを除き、証券をもって納付することができる。</w:t>
      </w:r>
    </w:p>
    <w:p>
      <w:r>
        <w:br w:type="page"/>
      </w:r>
    </w:p>
    <w:p>
      <w:pPr>
        <w:pStyle w:val="Heading1"/>
      </w:pPr>
      <w:r>
        <w:t>附　則</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環境省の主管に係る一般会計の歳入について証券をもって納付しうる種目を定める省令</w:t>
      <w:br/>
      <w:tab/>
      <w:t>（平成十二年総理府令第九十七号）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環境省の主管に係る一般会計の歳入について証券をもって納付しうる種目を定める省令（平成十二年総理府令第九十七号）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