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産業構造審議会令</w:t>
        <w:br/>
        <w:t>（平成十二年政令第二百九十二号）</w:t>
      </w:r>
    </w:p>
    <w:p>
      <w:pPr>
        <w:pStyle w:val="Heading4"/>
      </w:pPr>
      <w:r>
        <w:t>第一条（所掌事務）</w:t>
      </w:r>
    </w:p>
    <w:p>
      <w:r>
        <w:t>産業構造審議会（以下「審議会」という。）は、経済産業省設置法第七条第一項に規定するもののほか、資源の有効な利用の促進に関する法律（平成三年法律第四十八号）、容器包装に係る分別収集及び再商品化の促進等に関する法律（平成七年法律第百十二号）第七条の七第三項及び情報処理の促進に関する法律（昭和四十五年法律第九十号）第三条第三項（同条第六項において準用する場合を含む。）の規定に基づきその権限に属させられた事項を処理す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委員及び臨時委員は、学識経験のある者のうちから、経済産業大臣が任命する。</w:t>
      </w:r>
    </w:p>
    <w:p>
      <w:pPr>
        <w:pStyle w:val="Heading5"/>
        <w:ind w:left="440"/>
      </w:pPr>
      <w:r>
        <w:t>２</w:t>
      </w:r>
    </w:p>
    <w:p>
      <w:pPr>
        <w:ind w:left="440"/>
      </w:pPr>
      <w:r>
        <w:t>専門委員は、当該専門の事項に関し学識経験のある者のうちから、経済産業大臣が任命する。</w:t>
      </w:r>
    </w:p>
    <w:p>
      <w:pPr>
        <w:pStyle w:val="Heading4"/>
      </w:pPr>
      <w:r>
        <w:t>第四条（委員の任期等）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第五条（会長）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第六条（分科会）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前項の表の上欄に掲げる分科会に属すべき委員、臨時委員及び専門委員は、経済産業大臣が指名する。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第七条（部会）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第八条（幹事）</w:t>
      </w:r>
    </w:p>
    <w:p>
      <w:r>
        <w:t>審議会に、幹事を置く。</w:t>
      </w:r>
    </w:p>
    <w:p>
      <w:pPr>
        <w:pStyle w:val="Heading5"/>
        <w:ind w:left="440"/>
      </w:pPr>
      <w:r>
        <w:t>２</w:t>
      </w:r>
    </w:p>
    <w:p>
      <w:pPr>
        <w:ind w:left="440"/>
      </w:pPr>
      <w:r>
        <w:t>幹事は、関係行政機関の職員のうちから、経済産業大臣が任命する。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第九条（議事）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第十条（資料の提出等の要求）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第十一条（庶務）</w:t>
      </w:r>
    </w:p>
    <w:p>
      <w:r>
        <w:t>審議会の庶務は、経済産業省経済産業政策局産業構造課において処理する。</w:t>
      </w:r>
    </w:p>
    <w:p>
      <w:pPr>
        <w:pStyle w:val="Heading4"/>
      </w:pPr>
      <w:r>
        <w:t>第十二条（雑則）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pPr>
        <w:pStyle w:val="Heading5"/>
        <w:ind w:left="440"/>
      </w:pPr>
      <w:r>
        <w:t>２</w:t>
      </w:r>
    </w:p>
    <w:p>
      <w:pPr>
        <w:ind w:left="440"/>
      </w:pPr>
      <w:r>
        <w:t>審議会は、経済産業省設置法第七条第一項及び第一条に規定するもののほか、当分の間、自転車競技法及び小型自動車競走法の一部を改正する法律（平成二十四年法律第十一号。以下この項において「改正法」という。）附則第五条の規定によりなおその効力を有することとされる改正法第一条の規定による改正前の自転車競技法（昭和二十三年法律第二百九号）第十八条第二項（同法第十九条第二項及び第二十一条第六項において準用する場合を含む。）及び改正法附則第九条の規定によりなおその効力を有することとされる改正法第二条の規定による改正前の小型自動車競走法（昭和二十五年法律第二百八号）第二十二条第二項（同法第二十三条第二項及び第二十五条第六項において準用する場合を含む。）の規定に基づきその権限に属させられた事項を処理する。</w:t>
      </w:r>
    </w:p>
    <w:p>
      <w:pPr>
        <w:pStyle w:val="Heading5"/>
        <w:ind w:left="440"/>
      </w:pPr>
      <w:r>
        <w:t>３</w:t>
      </w:r>
    </w:p>
    <w:p>
      <w:pPr>
        <w:ind w:left="440"/>
      </w:pPr>
      <w:r>
        <w:t>製造産業分科会は、第六条第一項の表製造産業分科会の項の下欄に掲げるもののほか、当分の間、前項に規定する事項を処理する。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則（平成一四年五月三一日政令第一八六号）</w:t>
      </w:r>
    </w:p>
    <w:p>
      <w:r>
        <w:t>この政令は、平成十四年十月一日から施行する。</w:t>
      </w:r>
    </w:p>
    <w:p>
      <w:r>
        <w:br w:type="page"/>
      </w:r>
    </w:p>
    <w:p>
      <w:pPr>
        <w:pStyle w:val="Heading1"/>
      </w:pPr>
      <w:r>
        <w:t>附　則（平成一四年七月三日政令第二四四号）</w:t>
      </w:r>
    </w:p>
    <w:p>
      <w:r>
        <w:t>この政令は、平成十五年四月一日から施行する。</w:t>
      </w:r>
    </w:p>
    <w:p>
      <w:r>
        <w:br w:type="page"/>
      </w:r>
    </w:p>
    <w:p>
      <w:pPr>
        <w:pStyle w:val="Heading1"/>
      </w:pPr>
      <w:r>
        <w:t>附　則（平成一六年八月二七日政令第二五九号）</w:t>
      </w:r>
    </w:p>
    <w:p>
      <w:pPr>
        <w:pStyle w:val="Heading4"/>
      </w:pPr>
      <w:r>
        <w:t>第一条（施行期日）</w:t>
      </w:r>
    </w:p>
    <w:p>
      <w:r>
        <w:t>この政令は、商品取引所法の一部を改正する法律（以下「改正法」という。）の施行の日（平成十七年五月一日。以下「施行日」という。）から施行する。</w:t>
      </w:r>
    </w:p>
    <w:p>
      <w:r>
        <w:br w:type="page"/>
      </w:r>
    </w:p>
    <w:p>
      <w:pPr>
        <w:pStyle w:val="Heading1"/>
      </w:pPr>
      <w:r>
        <w:t>附　則（平成一八年四月二六日政令第一七八号）</w:t>
      </w:r>
    </w:p>
    <w:p>
      <w:r>
        <w:t>この政令は、工業再配置促進法を廃止する法律の施行の日から施行する。</w:t>
      </w:r>
    </w:p>
    <w:p>
      <w:r>
        <w:br w:type="page"/>
      </w:r>
    </w:p>
    <w:p>
      <w:pPr>
        <w:pStyle w:val="Heading1"/>
      </w:pPr>
      <w:r>
        <w:t>附　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則（平成二一年四月三日政令第一一八号）</w:t>
      </w:r>
    </w:p>
    <w:p>
      <w:pPr>
        <w:pStyle w:val="Heading4"/>
      </w:pPr>
      <w:r>
        <w:t>第一条（施行期日）</w:t>
      </w:r>
    </w:p>
    <w:p>
      <w:r>
        <w:t>この政令は、特定商取引に関する法律及び割賦販売法の一部を改正する法律（次条及び附則第三条において「改正法」という。）の施行の日から施行する。</w:t>
      </w:r>
    </w:p>
    <w:p>
      <w:r>
        <w:br w:type="page"/>
      </w:r>
    </w:p>
    <w:p>
      <w:pPr>
        <w:pStyle w:val="Heading1"/>
      </w:pPr>
      <w:r>
        <w:t>附　則（平成二一年八月一四日政令第二一七号）</w:t>
      </w:r>
    </w:p>
    <w:p>
      <w:r>
        <w:t>この政令は、消費者庁及び消費者委員会設置法の施行の日（平成二十一年九月一日）から施行する。</w:t>
      </w:r>
    </w:p>
    <w:p>
      <w:r>
        <w:br w:type="page"/>
      </w:r>
    </w:p>
    <w:p>
      <w:pPr>
        <w:pStyle w:val="Heading1"/>
      </w:pPr>
      <w:r>
        <w:t>附　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則（平成二五年三月二九日政令第九四号）</w:t>
      </w:r>
    </w:p>
    <w:p>
      <w:r>
        <w:t>この政令は、平成二十五年四月一日から施行する。</w:t>
      </w:r>
    </w:p>
    <w:p>
      <w:r>
        <w:br w:type="page"/>
      </w:r>
    </w:p>
    <w:p>
      <w:pPr>
        <w:pStyle w:val="Heading1"/>
      </w:pPr>
      <w:r>
        <w:t>附　則（平成二五年六月二八日政令第一九八号）</w:t>
      </w:r>
    </w:p>
    <w:p>
      <w:r>
        <w:t>この政令は、平成二十五年七月一日から施行する。</w:t>
      </w:r>
    </w:p>
    <w:p>
      <w:r>
        <w:br w:type="page"/>
      </w:r>
    </w:p>
    <w:p>
      <w:pPr>
        <w:pStyle w:val="Heading1"/>
      </w:pPr>
      <w:r>
        <w:t>附　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　則（平成二八年六月一七日政令第二三九号）</w:t>
      </w:r>
    </w:p>
    <w:p>
      <w:r>
        <w:t>この政令は、公布の日から施行する。</w:t>
      </w:r>
    </w:p>
    <w:p>
      <w:r>
        <w:br w:type="page"/>
      </w:r>
    </w:p>
    <w:p>
      <w:pPr>
        <w:pStyle w:val="Heading1"/>
      </w:pPr>
      <w:r>
        <w:t>附　則（平成二九年七月五日政令第一七九号）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産業構造審議会令</w:t>
      <w:br/>
      <w:tab/>
      <w:t>（平成十二年政令第二百九十二号）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産業構造審議会令（平成十二年政令第二百九十二号）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