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産業標準化法に係る民間事業者等が行う書面の保存等における情報通信の技術の利用に関する法律施行規則</w:t>
        <w:br/>
        <w:t>（平成十七年厚生労働省・農林水産省・経済産業省・国土交通省令第七号）</w:t>
      </w:r>
    </w:p>
    <w:p>
      <w:pPr>
        <w:pStyle w:val="Heading4"/>
      </w:pPr>
      <w:r>
        <w:t>第一条（趣旨）</w:t>
      </w:r>
    </w:p>
    <w:p>
      <w:r>
        <w:t>民間事業者等が、産業標準化法（昭和二十四年法律第百八十五号）に係る保存等を、電磁的記録を使用して行う場合については、この命令の定めるところによる。</w:t>
      </w:r>
    </w:p>
    <w:p>
      <w:pPr>
        <w:pStyle w:val="Heading4"/>
      </w:pPr>
      <w:r>
        <w:t>第二条（定義）</w:t>
      </w:r>
    </w:p>
    <w:p>
      <w:r>
        <w:t>この命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産業標準化法第二十八条、第四十九条第一項（同法第五十五条第二項において準用する場合を含む。次条第一項において同じ。）及び第五十三条（同法第五十五条第二項において準用する場合を含む。以下同じ。）の規定に基づく書面の保存とする。</w:t>
      </w:r>
    </w:p>
    <w:p>
      <w:pPr>
        <w:pStyle w:val="Heading4"/>
      </w:pPr>
      <w:r>
        <w:t>第四条（電磁的記録による保存）</w:t>
      </w:r>
    </w:p>
    <w:p>
      <w:r>
        <w:t>民間事業者等が、法第三条第一項の規定に基づき、産業標準化法第二十八条、第四十九条第一項及び第五十三条の規定に基づく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民間事業者等の使用に係る電子計算機その他の機器に表示及び書面を作成できなければならない。</w:t>
      </w:r>
    </w:p>
    <w:p>
      <w:pPr>
        <w:pStyle w:val="Heading5"/>
        <w:ind w:left="440"/>
      </w:pPr>
      <w:r>
        <w:t>３</w:t>
      </w:r>
    </w:p>
    <w:p>
      <w:pPr>
        <w:ind w:left="440"/>
      </w:pPr>
      <w:r>
        <w:t>民間事業者等が、第一項の規定に基づく電磁的記録の保存を行う場合のうち、産業標準化法第二十八条及び第五十三条の規定に基づく書面の保存に代えて当該書面に係る電磁的記録の保存を行う場合は、主務大臣が定める基準を確保するよう努めなければならない。</w:t>
      </w:r>
    </w:p>
    <w:p>
      <w:pPr>
        <w:pStyle w:val="Heading4"/>
      </w:pPr>
      <w:r>
        <w:t>第五条（法第四条第一項の主務省令で定める作成）</w:t>
      </w:r>
    </w:p>
    <w:p>
      <w:r>
        <w:t>法第四条第一項の主務省令で定める作成は、産業標準化法第二十八条、第五十三条及び第五十八条第一項（同法第六十六条第二項において準用する場合を含む。以下同じ。）の規定に基づく書面の作成とする。</w:t>
      </w:r>
    </w:p>
    <w:p>
      <w:pPr>
        <w:pStyle w:val="Heading4"/>
      </w:pPr>
      <w:r>
        <w:t>第五条の二（作成において氏名等を明らかにする措置）</w:t>
      </w:r>
    </w:p>
    <w:p>
      <w:r>
        <w:t>法第四条第三項の主務省令で定める措置は、電子署名（電子署名及び認証業務に関する法律（平成十二年法律第百二号）第二条第一項に規定する電子署名をいう。）とする。</w:t>
      </w:r>
    </w:p>
    <w:p>
      <w:pPr>
        <w:pStyle w:val="Heading4"/>
      </w:pPr>
      <w:r>
        <w:t>第六条（電磁的記録による作成）</w:t>
      </w:r>
    </w:p>
    <w:p>
      <w:r>
        <w:t>民間事業者等が、法第四条第一項の規定に基づき、産業標準化法第二十八条、第五十三条及び第五十八条第一項の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第七条（法第五条第一項の主務省令で定める縦覧等）</w:t>
      </w:r>
    </w:p>
    <w:p>
      <w:r>
        <w:t>法第五条第一項の主務省令で定める縦覧等は、産業標準化法第四十九条第二項第一号（同法第五十五条第二項において準用する場合を含む。次条において同じ。）の規定に基づく書面の縦覧等とする。</w:t>
      </w:r>
    </w:p>
    <w:p>
      <w:pPr>
        <w:pStyle w:val="Heading4"/>
      </w:pPr>
      <w:r>
        <w:t>第八条（電磁的記録による縦覧等）</w:t>
      </w:r>
    </w:p>
    <w:p>
      <w:r>
        <w:t>民間事業者等が、法第五条第一項の規定に基づき、産業標準化法第四十九条第二項第一号の規定に基づく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第九条（法第六条第一項の主務省令で定める交付等）</w:t>
      </w:r>
    </w:p>
    <w:p>
      <w:r>
        <w:t>法第六条第一項の主務省令で定める交付等は、産業標準化法第四十九条第二項第二号（同法第五十五条第二項において準用する場合を含む。次条第一項において同じ。）及び第五十八条第一項の規定に基づく書面の交付等とする。</w:t>
      </w:r>
    </w:p>
    <w:p>
      <w:pPr>
        <w:pStyle w:val="Heading4"/>
      </w:pPr>
      <w:r>
        <w:t>第十条（電磁的記録による交付等）</w:t>
      </w:r>
    </w:p>
    <w:p>
      <w:r>
        <w:t>民間事業者等が、法第六条第一項の規定に基づき、産業標準化法第四十九条第二項第二号及び第五十八条第一項の規定に基づく書面の交付等に代えて当該書面に係る電磁的記録に記録されている事項の交付等を行う場合は、次に掲げる方法により行わなければならない。</w:t>
      </w:r>
    </w:p>
    <w:p>
      <w:pPr>
        <w:pStyle w:val="ListBullet"/>
        <w:ind w:left="880"/>
      </w:pPr>
      <w:r>
        <w:t>一</w:t>
        <w:br/>
        <w:t>電子情報処理組織を使用する方法のうちイ又はロに掲げるもの</w:t>
      </w:r>
    </w:p>
    <w:p>
      <w:pPr>
        <w:pStyle w:val="ListBullet"/>
        <w:ind w:left="880"/>
      </w:pPr>
      <w:r>
        <w:t>二</w:t>
        <w:br/>
        <w:t>磁気ディスク等をもって調製するファイルに書面に記載すべき事項を記録したものを交付する方法</w:t>
      </w:r>
    </w:p>
    <w:p>
      <w:pPr>
        <w:pStyle w:val="Heading5"/>
        <w:ind w:left="440"/>
      </w:pPr>
      <w:r>
        <w:t>２</w:t>
      </w:r>
    </w:p>
    <w:p>
      <w:pPr>
        <w:ind w:left="440"/>
      </w:pPr>
      <w:r>
        <w:t>前項各号に掲げる方法は、交付等の相手方がファイルへの記録を出力することによる書面を作成することができるものでなければならない。</w:t>
      </w:r>
    </w:p>
    <w:p>
      <w:r>
        <w:br w:type="page"/>
      </w:r>
    </w:p>
    <w:p>
      <w:pPr>
        <w:pStyle w:val="Heading1"/>
      </w:pPr>
      <w:r>
        <w:t>附　則</w:t>
      </w:r>
    </w:p>
    <w:p>
      <w:r>
        <w:t>この省令は、平成十七年十月一日から施行する。</w:t>
      </w:r>
    </w:p>
    <w:p>
      <w:r>
        <w:br w:type="page"/>
      </w:r>
    </w:p>
    <w:p>
      <w:pPr>
        <w:pStyle w:val="Heading1"/>
      </w:pPr>
      <w:r>
        <w:t>附則（平成三〇年一一月一四日内閣府・総務省・文部科学省・厚生労働省・農林水産省・経済産業省・国土交通省・環境省令第三号）</w:t>
      </w:r>
    </w:p>
    <w:p>
      <w:r>
        <w:t>この命令は、不正競争防止法等の一部を改正する法律の施行の日（平成三十一年七月一日）から施行する。</w:t>
      </w:r>
    </w:p>
    <w:p>
      <w:r>
        <w:br w:type="page"/>
      </w:r>
    </w:p>
    <w:p>
      <w:pPr>
        <w:pStyle w:val="Heading1"/>
      </w:pPr>
      <w:r>
        <w:t>附則（令和元年七月一日内閣府・総務省・文部科学省・厚生労働省・農林水産省・経済産業省・国土交通省・環境省令第一号）</w:t>
      </w:r>
    </w:p>
    <w:p>
      <w:r>
        <w:t>この命令は、令和二年四月一日から施行する。</w:t>
        <w:br/>
        <w:t>ただし、第二条の改正規定は、不正競争防止法等の一部を改正する法律の施行の日（令和元年七月一日）から施行する。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産業標準化法に係る民間事業者等が行う書面の保存等における情報通信の技術の利用に関する法律施行規則</w:t>
      <w:br/>
      <w:tab/>
      <w:t>（平成十七年厚生労働省・農林水産省・経済産業省・国土交通省令第七号）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産業標準化法に係る民間事業者等が行う書面の保存等における情報通信の技術の利用に関する法律施行規則（平成十七年厚生労働省・農林水産省・経済産業省・国土交通省令第七号）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