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産業競争力強化法施行令第四条に規定する内閣府令・経済産業省令で定める基準等を定める命令</w:t>
        <w:br/>
        <w:t>（平成二十七年内閣府・経済産業省令第一号）</w:t>
      </w:r>
    </w:p>
    <w:p>
      <w:pPr>
        <w:pStyle w:val="Heading4"/>
      </w:pPr>
      <w:r>
        <w:t>第一条（財産的基礎に関する基準）</w:t>
      </w:r>
    </w:p>
    <w:p>
      <w:r>
        <w:t>産業競争力強化法施行令（次条において「令」という。）第四条に規定する内閣府令・経済産業省令で定める基準は、次に掲げるものとする。</w:t>
      </w:r>
    </w:p>
    <w:p>
      <w:pPr>
        <w:pStyle w:val="Heading6"/>
        <w:ind w:left="880"/>
      </w:pPr>
      <w:r>
        <w:t>一</w:t>
      </w:r>
    </w:p>
    <w:p>
      <w:pPr>
        <w:ind w:left="880"/>
      </w:pPr>
      <w:r>
        <w:t>直近の三事業年度の各事業年度において、当該事業年度の収支決算書（一般会計及び特別会計に係る収支決算書をいう。第三条第一項において同じ。）に計上された収入額の決算額の合計額が支出額の決算額の合計額以上であること。</w:t>
      </w:r>
    </w:p>
    <w:p>
      <w:pPr>
        <w:pStyle w:val="Heading6"/>
        <w:ind w:left="880"/>
      </w:pPr>
      <w:r>
        <w:t>二</w:t>
      </w:r>
    </w:p>
    <w:p>
      <w:pPr>
        <w:ind w:left="880"/>
      </w:pPr>
      <w:r>
        <w:t>直近の三事業年度の各事業年度において、貸借対照表（一般会計及び特別会計に係る貸借対照表をいう。次号及び第三条第一項において同じ。）の正味財産の部に計上された積立金（特定の目的のために積み立てた積立金を除く。）の合計額が、次のいずれかに掲げる額以上の額であること。</w:t>
      </w:r>
    </w:p>
    <w:p>
      <w:pPr>
        <w:pStyle w:val="Heading6"/>
        <w:ind w:left="880"/>
      </w:pPr>
      <w:r>
        <w:t>三</w:t>
      </w:r>
    </w:p>
    <w:p>
      <w:pPr>
        <w:ind w:left="880"/>
      </w:pPr>
      <w:r>
        <w:t>直近の事業年度において、貸借対照表上の有形固定資産の額を超える借入金が存在しないこと。</w:t>
      </w:r>
    </w:p>
    <w:p>
      <w:pPr>
        <w:pStyle w:val="Heading4"/>
      </w:pPr>
      <w:r>
        <w:t>第二条（前払式支払手段に関する要件）</w:t>
      </w:r>
    </w:p>
    <w:p>
      <w:r>
        <w:t>令第四条に規定する内閣府令・経済産業省令で定める要件は、次に掲げるものとする。</w:t>
      </w:r>
    </w:p>
    <w:p>
      <w:pPr>
        <w:pStyle w:val="Heading6"/>
        <w:ind w:left="880"/>
      </w:pPr>
      <w:r>
        <w:t>一</w:t>
      </w:r>
    </w:p>
    <w:p>
      <w:pPr>
        <w:ind w:left="880"/>
      </w:pPr>
      <w:r>
        <w:t>資金決済に関する法律（平成二十一年法律第五十九号。ト及び次号において「資金決済法」という。）第三条第一項第一号に掲げる前払式支払手段（当該前払式支払手段と一体となっている書面その他の物を含む。トにおいて同じ。）に、次に掲げる事項が表示されていること。</w:t>
      </w:r>
    </w:p>
    <w:p>
      <w:pPr>
        <w:pStyle w:val="Heading6"/>
        <w:ind w:left="880"/>
      </w:pPr>
      <w:r>
        <w:t>二</w:t>
      </w:r>
    </w:p>
    <w:p>
      <w:pPr>
        <w:ind w:left="880"/>
      </w:pPr>
      <w:r>
        <w:t>資金決済法第二章の規定の適用を受けないことについて、その周知が図られていること。</w:t>
      </w:r>
    </w:p>
    <w:p>
      <w:pPr>
        <w:pStyle w:val="Heading6"/>
        <w:ind w:left="880"/>
      </w:pPr>
      <w:r>
        <w:t>三</w:t>
      </w:r>
    </w:p>
    <w:p>
      <w:pPr>
        <w:ind w:left="880"/>
      </w:pPr>
      <w:r>
        <w:t>支払可能金額と発行する際に対価として受け取る金額の差額のうち二分の一以上に相当する額（以下この号において「要補助金額」という。）を補填するものとして、国又は一の地方公共団体からの補助金が充当されていること。</w:t>
      </w:r>
    </w:p>
    <w:p>
      <w:pPr>
        <w:pStyle w:val="Heading6"/>
        <w:ind w:left="880"/>
      </w:pPr>
      <w:r>
        <w:t>四</w:t>
      </w:r>
    </w:p>
    <w:p>
      <w:pPr>
        <w:ind w:left="880"/>
      </w:pPr>
      <w:r>
        <w:t>発行に当たり、次に掲げる措置を講ずること。</w:t>
      </w:r>
    </w:p>
    <w:p>
      <w:pPr>
        <w:pStyle w:val="Heading4"/>
      </w:pPr>
      <w:r>
        <w:t>第三条（実施状況の報告）</w:t>
      </w:r>
    </w:p>
    <w:p>
      <w:r>
        <w:t>法第九条の規定に基づき、新事業活動計画の認定を受けた商工会議所、商工会又は都道府県商工会連合会（以下この条において「商工会議所等」という。）は、貸借対照表、収支決算書その他の当該商工会議所等の財産及び収支の状況を知ることができる書類を四月から九月まで及び十月から翌年三月までの半期ごとに作成し、当該半期経過後二月以内に、経済産業大臣に提出するとともに、その写しを内閣総理大臣に提出しなければならない。</w:t>
      </w:r>
    </w:p>
    <w:p>
      <w:pPr>
        <w:pStyle w:val="Heading5"/>
        <w:ind w:left="440"/>
      </w:pPr>
      <w:r>
        <w:t>２</w:t>
      </w:r>
    </w:p>
    <w:p>
      <w:pPr>
        <w:ind w:left="440"/>
      </w:pPr>
      <w:r>
        <w:t>前項の商工会議所等は、別紙様式の報告書を基準日（毎年三月三十一日及び九月三十日をいう。以下この項において同じ。）ごとに作成し、基準日の翌日から二月以内に経済産業大臣に提出するとともに、その写しを内閣総理大臣に提出しなければならない。</w:t>
      </w:r>
    </w:p>
    <w:p>
      <w:r>
        <w:br w:type="page"/>
      </w:r>
    </w:p>
    <w:p>
      <w:pPr>
        <w:pStyle w:val="Heading1"/>
      </w:pPr>
      <w:r>
        <w:t>附　則</w:t>
      </w:r>
    </w:p>
    <w:p>
      <w:r>
        <w:t>この命令は、産業競争力強化法施行令の一部を改正する政令（平成二十七年政令第百六十九号）の施行の日（平成二十七年四月一日）から施行する。</w:t>
      </w:r>
    </w:p>
    <w:p>
      <w:r>
        <w:br w:type="page"/>
      </w:r>
    </w:p>
    <w:p>
      <w:pPr>
        <w:pStyle w:val="Heading1"/>
      </w:pPr>
      <w:r>
        <w:t>附　則（平成三〇年七月六日内閣府・経済産業省令第一号）</w:t>
      </w:r>
    </w:p>
    <w:p>
      <w:r>
        <w:t>この命令は、産業競争力強化法等の一部を改正する法律の施行の日（平成三十年七月九日）から施行する。</w:t>
      </w:r>
    </w:p>
    <w:p>
      <w:r>
        <w:br w:type="page"/>
      </w:r>
    </w:p>
    <w:p>
      <w:pPr>
        <w:pStyle w:val="Heading1"/>
      </w:pPr>
      <w:r>
        <w:t>附　則（平成三〇年九月二五日内閣府・経済産業省令第五号）</w:t>
      </w:r>
    </w:p>
    <w:p>
      <w:r>
        <w:t>この命令は、産業競争力強化法等の一部を改正する法律（平成三十年法律第二十六号）附則第一条第二号に定める日（平成三十年九月二十五日）から施行する。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産業競争力強化法施行令第四条に規定する内閣府令・経済産業省令で定める基準等を定める命令</w:t>
      <w:br/>
      <w:tab/>
      <w:t>（平成二十七年内閣府・経済産業省令第一号）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産業競争力強化法施行令第四条に規定する内閣府令・経済産業省令で定める基準等を定める命令（平成二十七年内閣府・経済産業省令第一号）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