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発達障害者支援法施行規則</w:t>
        <w:br/>
        <w:t>（平成十七年厚生労働省令第八十一号）</w:t>
      </w:r>
    </w:p>
    <w:p>
      <w:r>
        <w:t>発達障害者支援法施行令第一条の厚生労働省令で定める障害は、心理的発達の障害並びに行動及び情緒の障害（自閉症、アスペルガー症候群その他の広汎性発達障害、学習障害、注意欠陥多動性障害、言語の障害及び協調運動の障害を除く。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発達障害者支援法施行規則</w:t>
      <w:br/>
      <w:tab/>
      <w:t>（平成十七年厚生労働省令第八十一号）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発達障害者支援法施行規則（平成十七年厚生労働省令第八十一号）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