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皇統譜令</w:t>
        <w:br/>
        <w:t>（昭和二十二年政令第一号）</w:t>
      </w:r>
    </w:p>
    <w:p>
      <w:pPr>
        <w:pStyle w:val="Heading4"/>
      </w:pPr>
      <w:r>
        <w:t>第一条</w:t>
      </w:r>
    </w:p>
    <w:p>
      <w:r>
        <w:t>この政令に定めるものの外、皇統譜に関しては、当分の間、なお従前の例による。</w:t>
      </w:r>
    </w:p>
    <w:p>
      <w:pPr>
        <w:pStyle w:val="Heading4"/>
      </w:pPr>
      <w:r>
        <w:t>第二条</w:t>
      </w:r>
    </w:p>
    <w:p>
      <w:r>
        <w:t>皇統譜の副本は、法務省でこれを保管する。</w:t>
      </w:r>
    </w:p>
    <w:p>
      <w:pPr>
        <w:pStyle w:val="Heading4"/>
      </w:pPr>
      <w:r>
        <w:t>第三条</w:t>
      </w:r>
    </w:p>
    <w:p>
      <w:r>
        <w:t>左の各号に掲げる事項については、宮内庁長官が、法務大臣と協議して、これを行う。</w:t>
      </w:r>
    </w:p>
    <w:p>
      <w:pPr>
        <w:pStyle w:val="ListBullet"/>
        <w:ind w:left="880"/>
      </w:pPr>
      <w:r>
        <w:t>一</w:t>
        <w:br/>
        <w:t>公布又は公告がない事項の登録</w:t>
      </w:r>
    </w:p>
    <w:p>
      <w:pPr>
        <w:pStyle w:val="ListBullet"/>
        <w:ind w:left="880"/>
      </w:pPr>
      <w:r>
        <w:t>二</w:t>
        <w:br/>
        <w:t>皇統譜の登録又は附記に錯誤を発見した場合の訂正</w:t>
      </w:r>
    </w:p>
    <w:p>
      <w:pPr>
        <w:pStyle w:val="Heading4"/>
      </w:pPr>
      <w:r>
        <w:t>第四条</w:t>
      </w:r>
    </w:p>
    <w:p>
      <w:r>
        <w:t>皇室典範第三条の規定によつて、皇位継承の順序を変えたときは、その年月日を皇嗣であつた親王又は王の欄に登録し、事由を附記しなければならない。</w:t>
      </w:r>
    </w:p>
    <w:p>
      <w:pPr>
        <w:pStyle w:val="Heading4"/>
      </w:pPr>
      <w:r>
        <w:t>第五条</w:t>
      </w:r>
    </w:p>
    <w:p>
      <w:r>
        <w:t>皇室典範第十一条から第十四条までの規定によつて、親王、内親王、王又は女王が、皇族の身分を離れたときは、その年月日を当該親王、内親王、王又は女王の欄に登録し、事由及び氏名を附記しなければならない。</w:t>
      </w:r>
    </w:p>
    <w:p>
      <w:pPr>
        <w:pStyle w:val="Heading4"/>
      </w:pPr>
      <w:r>
        <w:t>第六条</w:t>
      </w:r>
    </w:p>
    <w:p>
      <w:r>
        <w:t>皇統譜は、内閣総理大臣の承認を得た場合の外、これを尚蔵の部局外に持ち出してはならない。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○１</w:t>
      </w:r>
    </w:p>
    <w:p>
      <w:pPr>
        <w:ind w:left="440"/>
      </w:pPr>
      <w:r>
        <w:t>この政令は、公布の日から、これを施行する。</w:t>
      </w:r>
    </w:p>
    <w:p>
      <w:pPr>
        <w:pStyle w:val="Heading5"/>
        <w:ind w:left="440"/>
      </w:pPr>
      <w:r>
        <w:t>○２</w:t>
      </w:r>
    </w:p>
    <w:p>
      <w:pPr>
        <w:ind w:left="440"/>
      </w:pPr>
      <w:r>
        <w:t>従前の規定による皇統譜は、この政令によつて調製したものとみなす。</w:t>
      </w:r>
    </w:p>
    <w:p>
      <w:pPr>
        <w:pStyle w:val="Heading5"/>
        <w:ind w:left="440"/>
      </w:pPr>
      <w:r>
        <w:t>○３</w:t>
      </w:r>
    </w:p>
    <w:p>
      <w:pPr>
        <w:ind w:left="440"/>
      </w:pPr>
      <w:r>
        <w:t>従前の皇統譜に関し、宮内大臣が行つた職権は、この政令の規定による皇統譜については、宮内庁長官が、これを行うものとする。</w:t>
      </w:r>
    </w:p>
    <w:p>
      <w:r>
        <w:br w:type="page"/>
      </w:r>
    </w:p>
    <w:p>
      <w:pPr>
        <w:pStyle w:val="Heading1"/>
      </w:pPr>
      <w:r>
        <w:t>附則（昭和二四年五月三一日政令第一二七号）</w:t>
      </w:r>
    </w:p>
    <w:p>
      <w:r>
        <w:t>この政令は、昭和二十四年六月一日から施行する。</w:t>
      </w:r>
    </w:p>
    <w:p>
      <w:r>
        <w:br w:type="page"/>
      </w:r>
    </w:p>
    <w:p>
      <w:pPr>
        <w:pStyle w:val="Heading1"/>
      </w:pPr>
      <w:r>
        <w:t>附則（昭和二七年七月三一日政令第三〇五号）</w:t>
      </w:r>
    </w:p>
    <w:p>
      <w:r>
        <w:t>この政令は、昭和二十七年八月一日から施行する。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皇統譜令</w:t>
      <w:br/>
      <w:tab/>
      <w:t>（昭和二十二年政令第一号）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皇統譜令（昭和二十二年政令第一号）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