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石油需給適正化法施行令</w:t>
        <w:br/>
        <w:t>（昭和四十九年政令第十五号）</w:t>
      </w:r>
    </w:p>
    <w:p>
      <w:pPr>
        <w:pStyle w:val="Heading4"/>
      </w:pPr>
      <w:r>
        <w:t>第一条（石油製品の範囲）</w:t>
      </w:r>
    </w:p>
    <w:p>
      <w:r>
        <w:t>石油需給適正化法（以下「法」という。）第二条第二項の政令で定める炭化水素油及び石油ガス（液化したものを含む。）は、揮発油、灯油（ジェット燃料油を含む。）、軽油、重油及びプロパン、プロピレン、ブタン又はブチレンを主成分とするガス（液化したものを含む。）とする。</w:t>
      </w:r>
    </w:p>
    <w:p>
      <w:pPr>
        <w:pStyle w:val="Heading4"/>
      </w:pPr>
      <w:r>
        <w:t>第二条（使用期間）</w:t>
      </w:r>
    </w:p>
    <w:p>
      <w:r>
        <w:t>法第七条第一項の政令で定める期間は、昭和四十九年二月から五月までの各月とする。</w:t>
      </w:r>
    </w:p>
    <w:p>
      <w:pPr>
        <w:pStyle w:val="Heading4"/>
      </w:pPr>
      <w:r>
        <w:t>第三条（使用限度量）</w:t>
      </w:r>
    </w:p>
    <w:p>
      <w:r>
        <w:t>法第七条第一項第一号の政令で定める数量は、二千キロリットルとする。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石油需給適正化法第二条第二項の石油製品の範囲を定める政令（昭和四十八年政令第三百六十七号）は、廃止する。</w:t>
      </w:r>
    </w:p>
    <w:p>
      <w:r>
        <w:br w:type="page"/>
      </w:r>
    </w:p>
    <w:p>
      <w:pPr>
        <w:pStyle w:val="Heading1"/>
      </w:pPr>
      <w:r>
        <w:t>附　則（昭和四九年三月二七日政令第六五号）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則（昭和四九年四月二四日政令第一三八号）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石油需給適正化法施行令</w:t>
      <w:br/>
      <w:tab/>
      <w:t>（昭和四十九年政令第十五号）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石油需給適正化法施行令（昭和四十九年政令第十五号）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