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研究開発段階発電用原子炉に使用する燃料体の技術基準に関する規則</w:t>
        <w:br/>
        <w:t>（平成二十五年原子力規制委員会規則第十一号）</w:t>
      </w:r>
    </w:p>
    <w:p>
      <w:pPr>
        <w:pStyle w:val="Heading4"/>
      </w:pPr>
      <w:r>
        <w:t>第一条（適用範囲）</w:t>
      </w:r>
    </w:p>
    <w:p>
      <w:r>
        <w:t>この規則は、研究開発段階発電用原子炉に使用する燃料体について適用する。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ListBullet"/>
        <w:ind w:left="880"/>
      </w:pPr>
      <w:r>
        <w:t>一</w:t>
        <w:br/>
        <w:t>「燃料材」とは、熱を発生させるために成形された核燃料物質をいう。</w:t>
      </w:r>
    </w:p>
    <w:p>
      <w:pPr>
        <w:pStyle w:val="ListBullet"/>
        <w:ind w:left="880"/>
      </w:pPr>
      <w:r>
        <w:t>二</w:t>
        <w:br/>
        <w:t>「燃料被覆材」とは、原子核分裂生成物の飛散を防ぎ、かつ、冷却材による侵食を防ぐために燃料材を覆う金属管をいう。</w:t>
      </w:r>
    </w:p>
    <w:p>
      <w:pPr>
        <w:pStyle w:val="ListBullet"/>
        <w:ind w:left="880"/>
      </w:pPr>
      <w:r>
        <w:t>三</w:t>
        <w:br/>
        <w:t>「端栓」とは、燃料被覆材の両端を密封するために成形された金属部品をいう。</w:t>
      </w:r>
    </w:p>
    <w:p>
      <w:pPr>
        <w:pStyle w:val="ListBullet"/>
        <w:ind w:left="880"/>
      </w:pPr>
      <w:r>
        <w:t>四</w:t>
        <w:br/>
        <w:t>「燃料要素」とは、燃料材、燃料被覆材及び端栓からなる炉心の構成要素であって、構造上独立の最小単位であるものをいう。</w:t>
      </w:r>
    </w:p>
    <w:p>
      <w:pPr>
        <w:pStyle w:val="Heading4"/>
      </w:pPr>
      <w:r>
        <w:t>第三条（特殊な加工による発電用原子炉に燃料体として使用する核燃料物質）</w:t>
      </w:r>
    </w:p>
    <w:p>
      <w:r>
        <w:t>特別の理由により原子力規制委員会の認可を受けた場合は、この規則の規定によらないで燃料体の加工をすることができる。</w:t>
      </w:r>
    </w:p>
    <w:p>
      <w:pPr>
        <w:pStyle w:val="Heading5"/>
        <w:ind w:left="440"/>
      </w:pPr>
      <w:r>
        <w:t>２</w:t>
      </w:r>
    </w:p>
    <w:p>
      <w:pPr>
        <w:ind w:left="440"/>
      </w:pPr>
      <w:r>
        <w:t>前項の認可を受けようとする者は、その理由及び燃料体の加工の方法について記載した申請書に関係図面を添付して申請しなければならない。</w:t>
      </w:r>
    </w:p>
    <w:p>
      <w:pPr>
        <w:pStyle w:val="Heading4"/>
      </w:pPr>
      <w:r>
        <w:t>第四条（二酸化ウラン燃料材）</w:t>
      </w:r>
    </w:p>
    <w:p>
      <w:r>
        <w:t>二酸化ウラン燃料材は、次のいずれにも適合するものでなければならない。</w:t>
      </w:r>
    </w:p>
    <w:p>
      <w:pPr>
        <w:pStyle w:val="ListBullet"/>
        <w:ind w:left="880"/>
      </w:pPr>
      <w:r>
        <w:t>一</w:t>
        <w:br/>
        <w:t>高速増殖炉以外の発電用原子炉に用いる場合にあっては、次の表の上欄に掲げる元素を含有する場合における当該元素の含有量のウランの含有量に対する百分率の値は、それぞれ同表の下欄に掲げる値であること。</w:t>
      </w:r>
    </w:p>
    <w:p>
      <w:pPr>
        <w:pStyle w:val="ListBullet"/>
        <w:ind w:left="880"/>
      </w:pPr>
      <w:r>
        <w:t>二</w:t>
        <w:br/>
        <w:t>高速増殖炉に用いる場合にあっては、当該燃料材に含まれる不純物の含有量の全重量に対する百分率の値は、実用上差し支えがないものであること。</w:t>
      </w:r>
    </w:p>
    <w:p>
      <w:pPr>
        <w:pStyle w:val="ListBullet"/>
        <w:ind w:left="880"/>
      </w:pPr>
      <w:r>
        <w:t>三</w:t>
        <w:br/>
        <w:t>ウラン二三五の含有量のウランの含有量に対する百分率の値の偏差は、著しく大きくないこと。</w:t>
      </w:r>
    </w:p>
    <w:p>
      <w:pPr>
        <w:pStyle w:val="ListBullet"/>
        <w:ind w:left="880"/>
      </w:pPr>
      <w:r>
        <w:t>四</w:t>
        <w:br/>
        <w:t>ペレット型燃料材にあっては、ペレットが次に適合すること。</w:t>
      </w:r>
    </w:p>
    <w:p>
      <w:pPr>
        <w:pStyle w:val="ListBullet"/>
        <w:ind w:left="880"/>
      </w:pPr>
      <w:r>
        <w:t>五</w:t>
        <w:br/>
        <w:t>ガドリニウムを添加していないものにあっては、次に適合すること。</w:t>
      </w:r>
    </w:p>
    <w:p>
      <w:pPr>
        <w:pStyle w:val="ListBullet"/>
        <w:ind w:left="880"/>
      </w:pPr>
      <w:r>
        <w:t>六</w:t>
        <w:br/>
        <w:t>ガドリニウムを添加したものにあっては、次に適合すること。</w:t>
      </w:r>
    </w:p>
    <w:p>
      <w:pPr>
        <w:pStyle w:val="Heading4"/>
      </w:pPr>
      <w:r>
        <w:t>第五条（ウラン・プルトニウム混合酸化物燃料材）</w:t>
      </w:r>
    </w:p>
    <w:p>
      <w:r>
        <w:t>ウラン・プルトニウム混合酸化物燃料材は、次のいずれにも適合するものでなければならない。</w:t>
      </w:r>
    </w:p>
    <w:p>
      <w:pPr>
        <w:pStyle w:val="ListBullet"/>
        <w:ind w:left="880"/>
      </w:pPr>
      <w:r>
        <w:t>一</w:t>
        <w:br/>
        <w:t>各元素の含有量の全重量に対する百分率の値の偏差は、著しく大きくないこと。</w:t>
      </w:r>
    </w:p>
    <w:p>
      <w:pPr>
        <w:pStyle w:val="ListBullet"/>
        <w:ind w:left="880"/>
      </w:pPr>
      <w:r>
        <w:t>二</w:t>
        <w:br/>
        <w:t>酸素の原子数のウラン及びプルトニウムの原子数の合計に対する比率の値は、実用上差し支えがないものであること。</w:t>
      </w:r>
    </w:p>
    <w:p>
      <w:pPr>
        <w:pStyle w:val="ListBullet"/>
        <w:ind w:left="880"/>
      </w:pPr>
      <w:r>
        <w:t>三</w:t>
        <w:br/>
        <w:t>ウラン二三五、プルトニウム二三九及びプルトニウム二四一の含有量の合計のウラン及びプルトニウムの含有量の合計に対する百分率の値の偏差は、著しく大きくないこと。</w:t>
      </w:r>
    </w:p>
    <w:p>
      <w:pPr>
        <w:pStyle w:val="ListBullet"/>
        <w:ind w:left="880"/>
      </w:pPr>
      <w:r>
        <w:t>四</w:t>
        <w:br/>
        <w:t>プルトニウムの均一度は、実用上差し支えがないものであること。</w:t>
      </w:r>
    </w:p>
    <w:p>
      <w:pPr>
        <w:pStyle w:val="ListBullet"/>
        <w:ind w:left="880"/>
      </w:pPr>
      <w:r>
        <w:t>五</w:t>
        <w:br/>
        <w:t>ペレット型燃料材にあっては、ペレットが次に適合すること。</w:t>
      </w:r>
    </w:p>
    <w:p>
      <w:pPr>
        <w:pStyle w:val="Heading4"/>
      </w:pPr>
      <w:r>
        <w:t>第六条（ジルコニウム合金燃料被覆材）</w:t>
      </w:r>
    </w:p>
    <w:p>
      <w:r>
        <w:t>ジルコニウム合金燃料被覆材は、次のいずれにも適合するものでなければならない。</w:t>
      </w:r>
    </w:p>
    <w:p>
      <w:pPr>
        <w:pStyle w:val="ListBullet"/>
        <w:ind w:left="880"/>
      </w:pPr>
      <w:r>
        <w:t>一</w:t>
        <w:br/>
        <w:t>各部分の寸法の偏差は、著しく大きくないこと。</w:t>
      </w:r>
    </w:p>
    <w:p>
      <w:pPr>
        <w:pStyle w:val="ListBullet"/>
        <w:ind w:left="880"/>
      </w:pPr>
      <w:r>
        <w:t>二</w:t>
        <w:br/>
        <w:t>被覆材の軸は、著しく湾曲していないこと。</w:t>
      </w:r>
    </w:p>
    <w:p>
      <w:pPr>
        <w:pStyle w:val="ListBullet"/>
        <w:ind w:left="880"/>
      </w:pPr>
      <w:r>
        <w:t>三</w:t>
        <w:br/>
        <w:t>各元素の含有量の全重量に対する百分率の値は、日本工業規格Ｈ四七五一（一九九八）「ジルコニウム合金管」の「四</w:t>
        <w:br/>
        <w:br/>
        <w:br/>
        <w:t>品質」の表二及び表三に規定する値であること。</w:t>
      </w:r>
    </w:p>
    <w:p>
      <w:pPr>
        <w:pStyle w:val="ListBullet"/>
        <w:ind w:left="880"/>
      </w:pPr>
      <w:r>
        <w:t>四</w:t>
        <w:br/>
        <w:t>日本工業規格Ｈ四七五一（一九九八）「ジルコニウム合金管」の「附属書三</w:t>
        <w:br/>
        <w:br/>
        <w:br/>
        <w:t>水素化物方位試験方法」又はこれと同等の方法によって水素化物方位試験を行ったとき、水素化物方向性係数が〇・四五を超えないこと。</w:t>
      </w:r>
    </w:p>
    <w:p>
      <w:pPr>
        <w:pStyle w:val="ListBullet"/>
        <w:ind w:left="880"/>
      </w:pPr>
      <w:r>
        <w:t>五</w:t>
        <w:br/>
        <w:t>日本工業規格Ｈ四七五一（一九九八）「ジルコニウム合金管」の「附属書四</w:t>
        <w:br/>
        <w:br/>
        <w:br/>
        <w:t>超音波探傷試験方法」又はこれと同等の方法によって超音波探傷試験を行ったとき、対比試験片の人工傷からの欠陥信号と同等以上の欠陥信号がないこと。</w:t>
      </w:r>
    </w:p>
    <w:p>
      <w:pPr>
        <w:pStyle w:val="ListBullet"/>
        <w:ind w:left="880"/>
      </w:pPr>
      <w:r>
        <w:t>六</w:t>
        <w:br/>
        <w:t>表面に割れ、傷等で有害なものがないこと。</w:t>
      </w:r>
    </w:p>
    <w:p>
      <w:pPr>
        <w:pStyle w:val="ListBullet"/>
        <w:ind w:left="880"/>
      </w:pPr>
      <w:r>
        <w:t>七</w:t>
        <w:br/>
        <w:t>表面に油脂、酸化物等で有害な付着物がないこと。</w:t>
      </w:r>
    </w:p>
    <w:p>
      <w:pPr>
        <w:pStyle w:val="ListBullet"/>
        <w:ind w:left="880"/>
      </w:pPr>
      <w:r>
        <w:t>八</w:t>
        <w:br/>
        <w:t>表面の粗さの程度は、実用上差し支えがないものであること。</w:t>
      </w:r>
    </w:p>
    <w:p>
      <w:pPr>
        <w:pStyle w:val="ListBullet"/>
        <w:ind w:left="880"/>
      </w:pPr>
      <w:r>
        <w:t>九</w:t>
        <w:br/>
        <w:t>日本工業規格Ｈ四七五一（一九九八）「ジルコニウム合金管」の「附属書二</w:t>
        <w:br/>
        <w:br/>
        <w:br/>
        <w:t>腐食試験方法」又はこれと同等の方法によって腐食試験を行ったとき、表面に著しい白色又は褐色の酸化物が付着せず、かつ、腐食質量増加が三日間で二十二ミリグラム毎平方デシメートル以下又は十四日間で三十八ミリグラム毎平方デシメートル以下であること。</w:t>
      </w:r>
    </w:p>
    <w:p>
      <w:pPr>
        <w:pStyle w:val="ListBullet"/>
        <w:ind w:left="880"/>
      </w:pPr>
      <w:r>
        <w:t>十</w:t>
        <w:br/>
        <w:t>再結晶焼きなましを行ったものにあっては、次に適合すること。</w:t>
      </w:r>
    </w:p>
    <w:p>
      <w:pPr>
        <w:pStyle w:val="ListBullet"/>
        <w:ind w:left="880"/>
      </w:pPr>
      <w:r>
        <w:t>十一</w:t>
        <w:br/>
        <w:t>応力除去焼きなましを行ったものにあっては、日本工業規格Ｚ二二四一（一九九八）「金属材料引張試験方法」又はこれと同等の方法によって引張試験を行ったとき、引張強さ、耐力及び伸びが必要な値であること。</w:t>
      </w:r>
    </w:p>
    <w:p>
      <w:pPr>
        <w:pStyle w:val="Heading4"/>
      </w:pPr>
      <w:r>
        <w:t>第七条（ステンレス鋼燃料被覆材）</w:t>
      </w:r>
    </w:p>
    <w:p>
      <w:r>
        <w:t>ステンレス鋼燃料被覆材は、次のいずれにも適合するものでなければならない。</w:t>
      </w:r>
    </w:p>
    <w:p>
      <w:pPr>
        <w:pStyle w:val="ListBullet"/>
        <w:ind w:left="880"/>
      </w:pPr>
      <w:r>
        <w:t>一</w:t>
        <w:br/>
        <w:t>各部分の寸法の偏差は、著しく大きくないこと。</w:t>
      </w:r>
    </w:p>
    <w:p>
      <w:pPr>
        <w:pStyle w:val="ListBullet"/>
        <w:ind w:left="880"/>
      </w:pPr>
      <w:r>
        <w:t>二</w:t>
        <w:br/>
        <w:t>被覆材の軸は、著しく湾曲していないこと。</w:t>
      </w:r>
    </w:p>
    <w:p>
      <w:pPr>
        <w:pStyle w:val="ListBullet"/>
        <w:ind w:left="880"/>
      </w:pPr>
      <w:r>
        <w:t>三</w:t>
        <w:br/>
        <w:t>次の表の上欄に掲げる元素を含有する場合における当該元素の含有量の全重量に対する百分率の値は、それぞれ同表の下欄に掲げる値であること。</w:t>
      </w:r>
    </w:p>
    <w:p>
      <w:pPr>
        <w:pStyle w:val="ListBullet"/>
        <w:ind w:left="880"/>
      </w:pPr>
      <w:r>
        <w:t>四</w:t>
        <w:br/>
        <w:t>ニオブ、チタン及びほう素の含有量の全重量に対する百分率の値は、それぞれ実用上差し支えがないものであること。</w:t>
      </w:r>
    </w:p>
    <w:p>
      <w:pPr>
        <w:pStyle w:val="ListBullet"/>
        <w:ind w:left="880"/>
      </w:pPr>
      <w:r>
        <w:t>五</w:t>
        <w:br/>
        <w:t>日本工業規格Ｚ二三四四（一九九三）「金属材料のパルス反射法による超音波探傷試験方法通則」又はこれと同等の方法によって超音波探傷試験を行ったとき、対比試験片の人工傷からの欠陥信号と同等以上の欠陥信号がないこと。</w:t>
      </w:r>
    </w:p>
    <w:p>
      <w:pPr>
        <w:pStyle w:val="ListBullet"/>
        <w:ind w:left="880"/>
      </w:pPr>
      <w:r>
        <w:t>六</w:t>
        <w:br/>
        <w:t>表面に割れ、傷等で有害なものがないこと。</w:t>
      </w:r>
    </w:p>
    <w:p>
      <w:pPr>
        <w:pStyle w:val="ListBullet"/>
        <w:ind w:left="880"/>
      </w:pPr>
      <w:r>
        <w:t>七</w:t>
        <w:br/>
        <w:t>表面に油脂、酸化物等で有害な付着物がないこと。</w:t>
      </w:r>
    </w:p>
    <w:p>
      <w:pPr>
        <w:pStyle w:val="ListBullet"/>
        <w:ind w:left="880"/>
      </w:pPr>
      <w:r>
        <w:t>八</w:t>
        <w:br/>
        <w:t>表面の粗さの程度は、実用上差し支えがないものであること。</w:t>
      </w:r>
    </w:p>
    <w:p>
      <w:pPr>
        <w:pStyle w:val="ListBullet"/>
        <w:ind w:left="880"/>
      </w:pPr>
      <w:r>
        <w:t>九</w:t>
        <w:br/>
        <w:t>結晶粒度は、実用上差し支えがないものであること。</w:t>
      </w:r>
    </w:p>
    <w:p>
      <w:pPr>
        <w:pStyle w:val="ListBullet"/>
        <w:ind w:left="880"/>
      </w:pPr>
      <w:r>
        <w:t>十</w:t>
        <w:br/>
        <w:t>日本工業規格Ｚ二二四一（一九九八）「金属材料引張試験方法」又はこれと同等の方法によって引張試験を行ったとき、引張強さ、耐力及び伸びが必要な値であること。</w:t>
      </w:r>
    </w:p>
    <w:p>
      <w:pPr>
        <w:pStyle w:val="Heading4"/>
      </w:pPr>
      <w:r>
        <w:t>第八条（ジルコニウム合金端栓）</w:t>
      </w:r>
    </w:p>
    <w:p>
      <w:r>
        <w:t>再結晶焼きなましを行ったジルコニウム合金端栓は、日本工業規格Ｚ二二四一（一九九八）「金属材料引張試験方法」又はこれと同等の方法によって次の表の上欄に掲げるいずれかの試験温度において引張試験を行ったとき、引張強さ、耐力及び伸びが同欄に掲げる試験温度の区分に応じ、それぞれ同表の下欄に掲げる値であるものでなければならない。</w:t>
      </w:r>
    </w:p>
    <w:p>
      <w:pPr>
        <w:pStyle w:val="Heading5"/>
        <w:ind w:left="440"/>
      </w:pPr>
      <w:r>
        <w:t>２</w:t>
      </w:r>
    </w:p>
    <w:p>
      <w:pPr>
        <w:ind w:left="440"/>
      </w:pPr>
      <w:r>
        <w:t>応力除去焼きなましを行ったジルコニウム合金端栓は、日本工業規格Ｚ二二四一（一九九八）「金属材料引張試験方法」又はこれと同等の方法によって引張試験を行ったとき、引張強さ、耐力及び伸びが必要な値であること。</w:t>
      </w:r>
    </w:p>
    <w:p>
      <w:pPr>
        <w:pStyle w:val="Heading5"/>
        <w:ind w:left="440"/>
      </w:pPr>
      <w:r>
        <w:t>３</w:t>
      </w:r>
    </w:p>
    <w:p>
      <w:pPr>
        <w:ind w:left="440"/>
      </w:pPr>
      <w:r>
        <w:t>第六条（第二号、第四号、第五号、第八号、第十号及び第十一号を除く。）の規定は、ジルコニウム合金端栓に準用する。</w:t>
        <w:br/>
        <w:t>ただし、第六条第三号の日本工業規格Ｈ四七五一（一九九八）「ジルコニウム合金管」の「四　品質」の表三に掲げるニオブ及びカルシウムを除く。</w:t>
      </w:r>
    </w:p>
    <w:p>
      <w:pPr>
        <w:pStyle w:val="Heading4"/>
      </w:pPr>
      <w:r>
        <w:t>第九条（ステンレス鋼端栓）</w:t>
      </w:r>
    </w:p>
    <w:p>
      <w:r>
        <w:t>第七条（第二号、第五号、第八号及び第九号を除く。）の規定は、ステンレス鋼端栓に準用する。</w:t>
      </w:r>
    </w:p>
    <w:p>
      <w:pPr>
        <w:pStyle w:val="Heading4"/>
      </w:pPr>
      <w:r>
        <w:t>第十条（その他の部品）</w:t>
      </w:r>
    </w:p>
    <w:p>
      <w:r>
        <w:t>燃料材、燃料被覆材、端栓以外の燃料体の部品は、次のいずれにも適合するものでなければならない。</w:t>
      </w:r>
    </w:p>
    <w:p>
      <w:pPr>
        <w:pStyle w:val="ListBullet"/>
        <w:ind w:left="880"/>
      </w:pPr>
      <w:r>
        <w:t>一</w:t>
        <w:br/>
        <w:t>各部分の寸法の偏差は、著しく大きくないこと。</w:t>
      </w:r>
    </w:p>
    <w:p>
      <w:pPr>
        <w:pStyle w:val="ListBullet"/>
        <w:ind w:left="880"/>
      </w:pPr>
      <w:r>
        <w:t>二</w:t>
        <w:br/>
        <w:t>表面に割れ、傷等で有害なものがないこと。</w:t>
      </w:r>
    </w:p>
    <w:p>
      <w:pPr>
        <w:pStyle w:val="ListBullet"/>
        <w:ind w:left="880"/>
      </w:pPr>
      <w:r>
        <w:t>三</w:t>
        <w:br/>
        <w:t>表面に油脂、酸化物等で有害な付着物がないこと。</w:t>
      </w:r>
    </w:p>
    <w:p>
      <w:pPr>
        <w:pStyle w:val="ListBullet"/>
        <w:ind w:left="880"/>
      </w:pPr>
      <w:r>
        <w:t>四</w:t>
        <w:br/>
        <w:t>支持格子、上部支持板、下部支持板、ワイヤスペーサ、ラッパ管、ハンドリングヘッド及びエントランスノズルにあっては、次に適合すること。</w:t>
      </w:r>
    </w:p>
    <w:p>
      <w:pPr>
        <w:pStyle w:val="Heading4"/>
      </w:pPr>
      <w:r>
        <w:t>第十一条（燃料要素）</w:t>
      </w:r>
    </w:p>
    <w:p>
      <w:r>
        <w:t>燃料要素は、次のいずれにも適合するものでなければならない。</w:t>
      </w:r>
    </w:p>
    <w:p>
      <w:pPr>
        <w:pStyle w:val="ListBullet"/>
        <w:ind w:left="880"/>
      </w:pPr>
      <w:r>
        <w:t>一</w:t>
        <w:br/>
        <w:t>各部分の寸法の偏差は、著しく大きくないこと。</w:t>
      </w:r>
    </w:p>
    <w:p>
      <w:pPr>
        <w:pStyle w:val="ListBullet"/>
        <w:ind w:left="880"/>
      </w:pPr>
      <w:r>
        <w:t>二</w:t>
        <w:br/>
        <w:t>燃料要素の軸は、著しく湾曲していないこと。</w:t>
      </w:r>
    </w:p>
    <w:p>
      <w:pPr>
        <w:pStyle w:val="ListBullet"/>
        <w:ind w:left="880"/>
      </w:pPr>
      <w:r>
        <w:t>三</w:t>
        <w:br/>
        <w:t>表面に割れ、傷等で有害なものがないこと。</w:t>
      </w:r>
    </w:p>
    <w:p>
      <w:pPr>
        <w:pStyle w:val="ListBullet"/>
        <w:ind w:left="880"/>
      </w:pPr>
      <w:r>
        <w:t>四</w:t>
        <w:br/>
        <w:t>表面に油脂、酸化物等で有害な付着物がないこと。</w:t>
      </w:r>
    </w:p>
    <w:p>
      <w:pPr>
        <w:pStyle w:val="ListBullet"/>
        <w:ind w:left="880"/>
      </w:pPr>
      <w:r>
        <w:t>五</w:t>
        <w:br/>
        <w:t>日本工業規格Ｚ四五〇四（一九九三）「放射線表面汚染の測定方法」における間接測定法又はこれと同等の方法によって測定したとき、表面に付着している核燃料物質の量が〇・〇〇〇〇四ベクレル毎平方ミリメートルを超えないこと。</w:t>
      </w:r>
    </w:p>
    <w:p>
      <w:pPr>
        <w:pStyle w:val="ListBullet"/>
        <w:ind w:left="880"/>
      </w:pPr>
      <w:r>
        <w:t>六</w:t>
        <w:br/>
        <w:t>ヘリウム漏えい試験を行ったとき、漏えい量が一億分の三百四メガパスカル立方ミリメートル毎秒を超えないこと。</w:t>
      </w:r>
    </w:p>
    <w:p>
      <w:pPr>
        <w:pStyle w:val="ListBullet"/>
        <w:ind w:left="880"/>
      </w:pPr>
      <w:r>
        <w:t>七</w:t>
        <w:br/>
        <w:t>溶接部にブローホール、アンダーカット等で有害なものがないこと。</w:t>
      </w:r>
    </w:p>
    <w:p>
      <w:pPr>
        <w:pStyle w:val="ListBullet"/>
        <w:ind w:left="880"/>
      </w:pPr>
      <w:r>
        <w:t>八</w:t>
        <w:br/>
        <w:t>部品の欠如がないこと。</w:t>
      </w:r>
    </w:p>
    <w:p>
      <w:pPr>
        <w:pStyle w:val="Heading4"/>
      </w:pPr>
      <w:r>
        <w:t>第十二条（燃料集合体）</w:t>
      </w:r>
    </w:p>
    <w:p>
      <w:r>
        <w:t>燃料要素の集合体である燃料体は、次のいずれにも適合するものでなければならない。</w:t>
      </w:r>
    </w:p>
    <w:p>
      <w:pPr>
        <w:pStyle w:val="ListBullet"/>
        <w:ind w:left="880"/>
      </w:pPr>
      <w:r>
        <w:t>一</w:t>
        <w:br/>
        <w:t>各部分の寸法の偏差は、著しく大きくないこと。</w:t>
      </w:r>
    </w:p>
    <w:p>
      <w:pPr>
        <w:pStyle w:val="ListBullet"/>
        <w:ind w:left="880"/>
      </w:pPr>
      <w:r>
        <w:t>二</w:t>
        <w:br/>
        <w:t>表面に割れ、傷等で有害なものがないこと。</w:t>
      </w:r>
    </w:p>
    <w:p>
      <w:pPr>
        <w:pStyle w:val="ListBullet"/>
        <w:ind w:left="880"/>
      </w:pPr>
      <w:r>
        <w:t>三</w:t>
        <w:br/>
        <w:t>表面に油脂、酸化物等で有害な付着物がないこと。</w:t>
      </w:r>
    </w:p>
    <w:p>
      <w:pPr>
        <w:pStyle w:val="ListBullet"/>
        <w:ind w:left="880"/>
      </w:pPr>
      <w:r>
        <w:t>四</w:t>
        <w:br/>
        <w:t>部品の欠如がないこと。</w:t>
      </w:r>
    </w:p>
    <w:p>
      <w:pPr>
        <w:pStyle w:val="Heading4"/>
      </w:pPr>
      <w:r>
        <w:t>第十三条（電磁的記録媒体による手続）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5"/>
        <w:ind w:left="440"/>
      </w:pPr>
      <w:r>
        <w:t>１</w:t>
      </w:r>
    </w:p>
    <w:p>
      <w:pPr>
        <w:ind w:left="440"/>
      </w:pPr>
      <w:r>
        <w:t>この規則は、原子力規制委員会設置法（平成二十四年法律第四十七号）附則第一条第四号に掲げる規定の施行の日（平成二十五年七月八日）から施行する。</w:t>
      </w:r>
    </w:p>
    <w:p>
      <w:pPr>
        <w:pStyle w:val="Heading5"/>
        <w:ind w:left="440"/>
      </w:pPr>
      <w:r>
        <w:t>２</w:t>
      </w:r>
    </w:p>
    <w:p>
      <w:pPr>
        <w:ind w:left="440"/>
      </w:pPr>
      <w:r>
        <w:t>この規則の施行の際現に発電用核燃料物質に関する技術基準を定める省令（昭和四十年通商産業省令第六十三号）第二条第一項の規定によりされている認可は、第三条第一項の規定によりされた認可とみなす。</w:t>
      </w:r>
    </w:p>
    <w:p>
      <w:pPr>
        <w:pStyle w:val="Heading5"/>
        <w:ind w:left="440"/>
      </w:pPr>
      <w:r>
        <w:t>３</w:t>
      </w:r>
    </w:p>
    <w:p>
      <w:pPr>
        <w:ind w:left="440"/>
      </w:pPr>
      <w:r>
        <w:t>この規則の施行の際現に発電用核燃料物質に関する技術基準を定める省令第二条第二項の規定による認可についてされている申請は、第三条第二項の規定による認可についてされた申請とみなす。</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研究開発段階発電用原子炉に使用する燃料体の技術基準に関する規則</w:t>
      <w:br/>
      <w:tab/>
      <w:t>（平成二十五年原子力規制委員会規則第十一号）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研究開発段階発電用原子炉に使用する燃料体の技術基準に関する規則（平成二十五年原子力規制委員会規則第十一号）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