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社会保障の安定財源の確保等を図る税制の抜本的な改革を行うための消費税法の一部を改正する等の法律　抄</w:t>
        <w:br/>
        <w:t>（平成二十四年法律第六十八号）</w:t>
      </w:r>
    </w:p>
    <w:p>
      <w:pPr>
        <w:pStyle w:val="Heading4"/>
      </w:pPr>
      <w:r>
        <w:t>第一条（趣旨）</w:t>
      </w:r>
    </w:p>
    <w:p>
      <w:r>
        <w:t>この法律は、世代間及び世代内の公平性が確保された社会保障制度を構築することが我が国の直面する重要な課題であることに鑑み、社会保障制度の改革とともに不断に行政改革を推進することに一段と注力しつつ経済状況を好転させることを条件として行う税制の抜本的な改革の一環として、社会保障の安定財源の確保及び財政の健全化を同時に達成することを目指す観点から消費税の使途の明確化及び税率の引上げを行うため、消費税法（昭和六十三年法律第百八号）の一部を改正するとともに、その他の税制の抜本的な改革及び関連する諸施策に関する措置について定めるものとす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第七条（税制に関する抜本的な改革及び関連する諸施策に関する措置）</w:t>
      </w:r>
    </w:p>
    <w:p>
      <w:r>
        <w:t>第二条及び第三条の規定により講じられる措置のほか、政府は、所得税法等の一部を改正する法律（平成二十一年法律第十三号）附則第百四条第一項及び第三項に基づく平成二十四年二月十七日に閣議において決定された社会保障・税一体改革大綱に記載された消費課税、個人所得課税、法人課税、資産課税その他の国と地方を通じた税制に関する抜本的な改革及び関連する諸施策について、次に定める基本的方向性によりそれらの具体化に向けてそれぞれ検討し、それぞれの結果に基づき速やかに必要な措置を講じなければならない。</w:t>
      </w:r>
    </w:p>
    <w:p>
      <w:pPr>
        <w:pStyle w:val="Heading6"/>
        <w:ind w:left="880"/>
      </w:pPr>
      <w:r>
        <w:t>一</w:t>
      </w:r>
    </w:p>
    <w:p>
      <w:pPr>
        <w:ind w:left="880"/>
      </w:pPr>
      <w:r>
        <w:t>消費課税については、消費税率（地方消費税率を含む。以下この号において同じ。）の引上げを踏まえて、次に定めるとおり検討すること。</w:t>
      </w:r>
    </w:p>
    <w:p>
      <w:pPr>
        <w:pStyle w:val="Heading6"/>
        <w:ind w:left="880"/>
      </w:pPr>
      <w:r>
        <w:t>二</w:t>
      </w:r>
    </w:p>
    <w:p>
      <w:pPr>
        <w:ind w:left="880"/>
      </w:pPr>
      <w:r>
        <w:t>個人所得課税については、次に定めるとおり検討すること。</w:t>
      </w:r>
    </w:p>
    <w:p>
      <w:pPr>
        <w:pStyle w:val="Heading6"/>
        <w:ind w:left="880"/>
      </w:pPr>
      <w:r>
        <w:t>三</w:t>
      </w:r>
    </w:p>
    <w:p>
      <w:pPr>
        <w:ind w:left="880"/>
      </w:pPr>
      <w:r>
        <w:t>法人課税については、平成二十七年度以降において、雇用及び国内投資の拡大の観点から、実効税率の引下げの効果及び主要国との競争上の諸条件等を検証しつつ、その在り方について検討すること。</w:t>
      </w:r>
    </w:p>
    <w:p>
      <w:pPr>
        <w:pStyle w:val="Heading6"/>
        <w:ind w:left="880"/>
      </w:pPr>
      <w:r>
        <w:t>四</w:t>
      </w:r>
    </w:p>
    <w:p>
      <w:pPr>
        <w:ind w:left="880"/>
      </w:pPr>
      <w:r>
        <w:t>資産課税については、次に定めるとおり検討すること。</w:t>
      </w:r>
    </w:p>
    <w:p>
      <w:pPr>
        <w:pStyle w:val="Heading6"/>
        <w:ind w:left="880"/>
      </w:pPr>
      <w:r>
        <w:t>五</w:t>
      </w:r>
    </w:p>
    <w:p>
      <w:pPr>
        <w:ind w:left="880"/>
      </w:pPr>
      <w:r>
        <w:t>地方税制については、次に定めるとおり検討すること。</w:t>
      </w:r>
    </w:p>
    <w:p>
      <w:pPr>
        <w:pStyle w:val="Heading6"/>
        <w:ind w:left="880"/>
      </w:pPr>
      <w:r>
        <w:t>六</w:t>
      </w:r>
    </w:p>
    <w:p>
      <w:pPr>
        <w:ind w:left="880"/>
      </w:pPr>
      <w:r>
        <w:t>番号制度については、税務における一層の適正かつ円滑な利用を確保する観点から、番号法及び行政手続における特定の個人を識別するための番号の利用等に関する法律の施行に伴う関係法律の整備等に関する法律（平成二十五年法律第二十八号）の公布後、納税者の利便の向上、番号法第二条第五項に規定する個人番号及び同条第十五項に規定する法人番号の告知、本人確認の実効性の確保並びに調書の拡充による必要な情報の収集等に関する各種の施策について、納税者及び事業者の事務負担等にも配慮しつつ、引き続き検討すること。</w:t>
      </w:r>
    </w:p>
    <w:p>
      <w:pPr>
        <w:pStyle w:val="Heading6"/>
        <w:ind w:left="880"/>
      </w:pPr>
      <w:r>
        <w:t>七</w:t>
      </w:r>
    </w:p>
    <w:p>
      <w:pPr>
        <w:ind w:left="880"/>
      </w:pPr>
      <w:r>
        <w:t>国際的な取引に関する課税については、国際的な租税回避の防止、投資交流の促進等の観点から必要に応じて見直すとともに、国際連帯税について国際的な取組の進展状況を踏まえつつ、検討すること。</w:t>
      </w:r>
    </w:p>
    <w:p>
      <w:pPr>
        <w:pStyle w:val="Heading6"/>
        <w:ind w:left="880"/>
      </w:pPr>
      <w:r>
        <w:t>八</w:t>
      </w:r>
    </w:p>
    <w:p>
      <w:pPr>
        <w:ind w:left="880"/>
      </w:pPr>
      <w:r>
        <w:t>年金保険料の徴収体制強化等について、歳入庁その他の方策の有効性、課題等を幅広い観点から検討し、実施すること。</w:t>
      </w:r>
    </w:p>
    <w:p>
      <w:r>
        <w:br w:type="page"/>
      </w:r>
    </w:p>
    <w:p>
      <w:pPr>
        <w:pStyle w:val="Heading1"/>
      </w:pPr>
      <w:r>
        <w:t>附　則</w:t>
      </w:r>
    </w:p>
    <w:p>
      <w:pPr>
        <w:pStyle w:val="Heading4"/>
      </w:pPr>
      <w:r>
        <w:t>第一条（施行期日）</w:t>
      </w:r>
    </w:p>
    <w:p>
      <w:r>
        <w:t>この法律は、平成二十六年四月一日から施行する。</w:t>
      </w:r>
    </w:p>
    <w:p>
      <w:pPr>
        <w:pStyle w:val="Heading6"/>
        <w:ind w:left="880"/>
      </w:pPr>
      <w:r>
        <w:t>一</w:t>
      </w:r>
    </w:p>
    <w:p>
      <w:pPr>
        <w:ind w:left="880"/>
      </w:pPr>
      <w:r>
        <w:t>第一条及び第七条の規定並びに附則第十八条、第二十条及び第二十一条の規定</w:t>
      </w:r>
    </w:p>
    <w:p>
      <w:pPr>
        <w:pStyle w:val="Heading6"/>
        <w:ind w:left="880"/>
      </w:pPr>
      <w:r>
        <w:t>二</w:t>
      </w:r>
    </w:p>
    <w:p>
      <w:pPr>
        <w:ind w:left="880"/>
      </w:pPr>
      <w:r>
        <w:t>第三条の規定及び附則第十五条から第十六条の二までの規定</w:t>
      </w:r>
    </w:p>
    <w:p>
      <w:pPr>
        <w:pStyle w:val="Heading4"/>
      </w:pPr>
      <w:r>
        <w:t>第十五条（第三条の規定による消費税法の一部改正に伴う経過措置の原則）</w:t>
      </w:r>
    </w:p>
    <w:p>
      <w:r>
        <w:t>この附則に別段の定めがあるものを除き、第三条の規定による改正後の消費税法（次条及び附則第十六条の二において「三十一年新消費税法」という。）の規定は、附則第一条第二号に定める日（以下附則第十六条の二までにおいて「一部施行日」という。）以後に国内において事業者が行う資産の譲渡等、国内において事業者が行う課税仕入れ及び保税地域から引き取られる課税貨物に係る消費税について適用し、施行日から一部施行日の前日までの間に国内において事業者が行った資産の譲渡等、国内において事業者が行った課税仕入れ及び保税地域から引き取った課税貨物に係る消費税については、なお従前の例による。</w:t>
      </w:r>
    </w:p>
    <w:p>
      <w:pPr>
        <w:pStyle w:val="Heading4"/>
      </w:pPr>
      <w:r>
        <w:t>第十六条（第三条の規定による消費税法の一部改正に伴う税率等に関する経過措置）</w:t>
      </w:r>
    </w:p>
    <w:p>
      <w:r>
        <w:t>附則第三条、第十一条及び第十二条の規定は一部施行日前に国内において行った課税資産の譲渡等につき一部施行日以後に三十一年新消費税法第三十八条第一項に規定する売上げに係る対価の返還等をした場合又は二十七年新消費税法第三十九条第一項に規定する領収をすることができなくなった場合について、附則第五条第一項から第五項まで及び第七条第一項の規定は一部施行日前の契約に基づき一部施行日以後に国内において課税資産の譲渡等及び特定課税仕入れ（消費税法第五条第一項に規定する特定課税仕入れをいう。以下この条及び次条において同じ。）を行う場合について、附則第六条第一項の規定は一部施行日前に行った消費税法第十六条第一項に規定する長期割賦販売等に係る賦払金の支払の期日が一部施行日以後に到来する場合について、附則第八条第一項及び第三項並びに第十四条第一項、第三項及び第四項の規定は同法第十八条第一項の個人事業者又は同法第六十条第二項の規定の適用を受ける国若しくは地方公共団体若しくは同条第三項の規定の適用を受ける法人が一部施行日前に行った課税資産の譲渡等又は課税仕入れの対価の計上の時期が一部施行日以後となる場合について、附則第九条の規定は一部施行日前に国内において行った課税仕入れにつき一部施行日以後に三十一年新消費税法第三十二条第一項に規定する仕入れに係る対価の返還等を受けた場合について、附則第十条の規定は一部施行日前に行った課税仕入れに係る棚卸資産又は保税地域から引き取った課税貨物で棚卸資産に該当するものを一部施行日以後有している場合について、附則第十三条第二項の規定は一部施行日以後に終了する課税期間（みなし課税期間にあっては、その末日が一部施行日以後である当該みなし課税期間）において第三条の規定による改正前の消費税法第二十九条に規定する税率が適用される課税資産の譲渡等及び特定課税仕入れが行われた場合における同項に規定する申告書について、それぞれ準用する。</w:t>
      </w:r>
    </w:p>
    <w:p>
      <w:pPr>
        <w:pStyle w:val="Heading5"/>
        <w:ind w:left="440"/>
      </w:pPr>
      <w:r>
        <w:t>２</w:t>
      </w:r>
    </w:p>
    <w:p>
      <w:pPr>
        <w:ind w:left="440"/>
      </w:pPr>
      <w:r>
        <w:t>（略）</w:t>
      </w:r>
    </w:p>
    <w:p>
      <w:pPr>
        <w:pStyle w:val="Heading4"/>
      </w:pPr>
      <w:r>
        <w:t>第十六条の二（特定課税仕入れに係る対価の返還等を受けた場合の消費税額の控除に関する経過措置）</w:t>
      </w:r>
    </w:p>
    <w:p>
      <w:r>
        <w:t>三十一年新消費税法第三十八条の二第一項に規定する事業者が、平成二十七年十月一日から一部施行日の前日までの間に国内において行った特定課税仕入れにつき、一部施行日以後に同項に規定する特定課税仕入れに係る対価の返還等を受けた場合には、当該特定課税仕入れに係る対価の返還等に係る同条の規定による消費税額の控除については、なお従前の例による。</w:t>
      </w:r>
    </w:p>
    <w:p>
      <w:pPr>
        <w:pStyle w:val="Heading4"/>
      </w:pPr>
      <w:r>
        <w:t>第十八条（消費税率の引上げに当たっての措置）</w:t>
      </w:r>
    </w:p>
    <w:p>
      <w:r>
        <w:t>消費税率の引上げに当たっては、経済状況を好転させることを条件として実施するため、物価が持続的に下落する状況からの脱却及び経済の活性化に向けて、平成二十三年度から平成三十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消費税率の引上げによる経済への影響等を踏まえ、成長戦略並びに事前防災及び減災等に資する分野に資金を重点的に配分することなど、我が国経済の成長等に向けた施策を検討する。</w:t>
      </w:r>
    </w:p>
    <w:p>
      <w:pPr>
        <w:pStyle w:val="Heading4"/>
      </w:pPr>
      <w:r>
        <w:t>第十九条（政令への委任）</w:t>
      </w:r>
    </w:p>
    <w:p>
      <w:r>
        <w:t>この附則に規定するもののほか、この法律の施行に関し必要な経過措置は、政令で定める。</w:t>
      </w:r>
    </w:p>
    <w:p>
      <w:pPr>
        <w:pStyle w:val="Heading4"/>
      </w:pPr>
      <w:r>
        <w:t>第二十条（所得税に係る措置）</w:t>
      </w:r>
    </w:p>
    <w:p>
      <w:r>
        <w:t>所得税については、格差の是正及び所得再分配機能の回復の観点から、最高税率の引上げ等による累進性の強化に係る具体的な措置について検討を加え、その結果に基づき、平成二十四年度中に必要な法制上の措置を講ずる。</w:t>
      </w:r>
    </w:p>
    <w:p>
      <w:pPr>
        <w:pStyle w:val="Heading4"/>
      </w:pPr>
      <w:r>
        <w:t>第二十一条（資産課税に係る措置）</w:t>
      </w:r>
    </w:p>
    <w:p>
      <w:r>
        <w:t>資産課税については、格差の固定化の防止、老後における扶養の社会化の進展への対処等の観点からの相続税の課税ベース、税率構造等の見直し及び高齢者が保有する資産の若年世代への早期移転を促し、消費拡大を通じた経済活性化を図る観点からの贈与税の見直しについて検討を加え、その結果に基づき、平成二十四年度中に必要な法制上の措置を講ず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p>
      <w:pPr>
        <w:pStyle w:val="Heading4"/>
      </w:pPr>
      <w:r>
        <w:t>第二条（内閣府設置法の一部改正）</w:t>
      </w:r>
    </w:p>
    <w:p>
      <w:r>
        <w:t>内閣府設置法（平成十一年法律第八十九号）の一部を次のように改正する。</w:t>
      </w:r>
    </w:p>
    <w:p>
      <w:pPr>
        <w:pStyle w:val="Heading6"/>
        <w:ind w:left="880"/>
      </w:pPr>
      <w:r>
        <w:t>四</w:t>
      </w:r>
    </w:p>
    <w:p>
      <w:pPr>
        <w:ind w:left="880"/>
      </w:pPr>
      <w:r>
        <w:t>社会保障の安定財源の確保等を図る税制の抜本的な改革を行うための消費税法の一部を改正する等の法律（平成二十四年法律第六十八号）第七条第一号ホ(1)の相談に関すること。</w:t>
      </w:r>
    </w:p>
    <w:p>
      <w:pPr>
        <w:pStyle w:val="Heading4"/>
      </w:pPr>
      <w:r>
        <w:t>第三条（消費税の円滑かつ適正な転嫁の確保のための消費税の転嫁を阻害する行為の是正等に関する特別措置法の一部改正）</w:t>
      </w:r>
    </w:p>
    <w:p>
      <w:r>
        <w:t>消費税の円滑かつ適正な転嫁の確保のための消費税の転嫁を阻害する行為の是正等に関する特別措置法（平成二十五年法律第四十一号）の一部を次のように改正する。</w:t>
      </w:r>
    </w:p>
    <w:p>
      <w:pPr>
        <w:pStyle w:val="Heading4"/>
      </w:pPr>
      <w:r>
        <w:t>第四条（持続可能な社会保障制度の確立を図るための改革の推進に関する法律の一部改正）</w:t>
      </w:r>
    </w:p>
    <w:p>
      <w:r>
        <w:t>持続可能な社会保障制度の確立を図るための改革の推進に関する法律（平成二十五年法律第百十二号）の一部を次のように改正する。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社会保障の安定財源の確保等を図る税制の抜本的な改革を行うための消費税法の一部を改正する等の法律　抄</w:t>
      <w:br/>
      <w:tab/>
      <w:t>（平成二十四年法律第六十八号）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社会保障の安定財源の確保等を図る税制の抜本的な改革を行うための消費税法の一部を改正する等の法律　抄（平成二十四年法律第六十八号）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