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社会保障制度改革国民会議令</w:t>
        <w:br/>
        <w:t>（平成二十四年政令第二百二十四号）</w:t>
      </w:r>
    </w:p>
    <w:p>
      <w:pPr>
        <w:pStyle w:val="Heading4"/>
      </w:pPr>
      <w:r>
        <w:t>第一条（会長の職務の代理）</w:t>
      </w:r>
    </w:p>
    <w:p>
      <w:r>
        <w:t>社会保障制度改革国民会議（以下「国民会議」という。）の会長に事故があるときは、会長があらかじめ指名する委員が、その職務を代理する。</w:t>
      </w:r>
    </w:p>
    <w:p>
      <w:pPr>
        <w:pStyle w:val="Heading4"/>
      </w:pPr>
      <w:r>
        <w:t>第二条（議事）</w:t>
      </w:r>
    </w:p>
    <w:p>
      <w:r>
        <w:t>国民会議は、委員の過半数が出席しなければ、会議を開き、議決することができない。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国民会議の議事は、出席した委員の過半数で決し、可否同数のときは、会長の決するところによる。</w:t>
      </w:r>
    </w:p>
    <w:p>
      <w:pPr>
        <w:pStyle w:val="Heading4"/>
      </w:pPr>
      <w:r>
        <w:t>第三条（国民会議の組織の細目）</w:t>
      </w:r>
    </w:p>
    <w:p>
      <w:r>
        <w:t>この政令に定めるもののほか、国民会議の組織に関し必要な細目は、内閣総理大臣が定める。</w:t>
      </w:r>
    </w:p>
    <w:p>
      <w:pPr>
        <w:pStyle w:val="Heading4"/>
      </w:pPr>
      <w:r>
        <w:t>第四条（国民会議の運営）</w:t>
      </w:r>
    </w:p>
    <w:p>
      <w:r>
        <w:t>この政令に定めるもののほか、議事の手続その他国民会議の運営に関し必要な事項は、会長が国民会議に諮って定める。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社会保障制度改革国民会議令</w:t>
      <w:br/>
      <w:tab/>
      <w:t>（平成二十四年政令第二百二十四号）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社会保障制度改革国民会議令（平成二十四年政令第二百二十四号）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