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社会資本整備重点計画法施行令</w:t>
        <w:br/>
        <w:t>（平成十五年政令第百六十二号）</w:t>
      </w:r>
    </w:p>
    <w:p>
      <w:pPr>
        <w:pStyle w:val="Heading4"/>
      </w:pPr>
      <w:r>
        <w:t>第一条（公共の用に供される飛行場と併せて設置すべき施設）</w:t>
      </w:r>
    </w:p>
    <w:p>
      <w:r>
        <w:t>社会資本整備重点計画法（以下「法」という。）第二条第二項第四号の政令で定める施設は、航空法（昭和二十七年法律第二百三十一号）第二条第五項に規定する航空保安施設その他航空交通の安全を確保するために必要な施設とする。</w:t>
      </w:r>
    </w:p>
    <w:p>
      <w:pPr>
        <w:pStyle w:val="Heading4"/>
      </w:pPr>
      <w:r>
        <w:t>第二条（都市公園以外の公園又は緑地）</w:t>
      </w:r>
    </w:p>
    <w:p>
      <w:r>
        <w:t>法第二条第二項第七号の政令で定める公園又は緑地は、次に掲げるものとする。</w:t>
      </w:r>
    </w:p>
    <w:p>
      <w:pPr>
        <w:pStyle w:val="ListBullet"/>
        <w:ind w:left="880"/>
      </w:pPr>
      <w:r>
        <w:t>一</w:t>
        <w:br/>
        <w:t>国及び地方公共団体以外の者が設置する都市計画施設（都市計画法（昭和四十三年法律第百号）第四条第六項に規定する都市計画施設をいう。）である公園又は緑地</w:t>
      </w:r>
    </w:p>
    <w:p>
      <w:pPr>
        <w:pStyle w:val="ListBullet"/>
        <w:ind w:left="880"/>
      </w:pPr>
      <w:r>
        <w:t>二</w:t>
        <w:br/>
        <w:t>人口が五千以上であり、かつ、中心の市街地を形成している区域内の人口が千以上である町村が設置する公園又は緑地（都市公園法（昭和三十一年法律第七十九号）第二条第一項に規定する都市公園に該当するものを除く。）のうち、次に掲げる要件に該当するもの</w:t>
      </w:r>
    </w:p>
    <w:p>
      <w:pPr>
        <w:pStyle w:val="Heading4"/>
      </w:pPr>
      <w:r>
        <w:t>第三条（社会資本整備重点計画の計画期間）</w:t>
      </w:r>
    </w:p>
    <w:p>
      <w:r>
        <w:t>社会資本整備重点計画は、おおむね五年を一期として定めるものとし、その変更は、当該計画期間の範囲内においてするものとする。</w:t>
      </w:r>
    </w:p>
    <w:p>
      <w:r>
        <w:br w:type="page"/>
      </w:r>
    </w:p>
    <w:p>
      <w:pPr>
        <w:pStyle w:val="Heading1"/>
      </w:pPr>
      <w:r>
        <w:t>附　則</w:t>
      </w:r>
    </w:p>
    <w:p>
      <w:pPr>
        <w:pStyle w:val="Heading4"/>
      </w:pPr>
      <w:r>
        <w:t>第一条（施行期日）</w:t>
      </w:r>
    </w:p>
    <w:p>
      <w:r>
        <w:t>この政令は、平成十五年四月一日から施行する。</w:t>
      </w:r>
    </w:p>
    <w:p>
      <w:pPr>
        <w:pStyle w:val="Heading4"/>
      </w:pPr>
      <w:r>
        <w:t>第二条（国の無利子貸付けの対象となる町村）</w:t>
      </w:r>
    </w:p>
    <w:p>
      <w:r>
        <w:t>法附則第二条第一項の政令で定める町村は、第二条第二号に規定する町村とする。</w:t>
      </w:r>
    </w:p>
    <w:p>
      <w:pPr>
        <w:pStyle w:val="Heading4"/>
      </w:pPr>
      <w:r>
        <w:t>第三条（国の無利子貸付けの対象となる公園又は緑地）</w:t>
      </w:r>
    </w:p>
    <w:p>
      <w:r>
        <w:t>法附則第二条第一項の政令で定める公園又は緑地は、第二条第二号に掲げる公園又は緑地でその設置に要する費用の一部を国が補助するものとする。</w:t>
      </w:r>
    </w:p>
    <w:p>
      <w:pPr>
        <w:pStyle w:val="Heading4"/>
      </w:pPr>
      <w:r>
        <w:t>第四条（国の無利子貸付けの貸付金の償還期間等）</w:t>
      </w:r>
    </w:p>
    <w:p>
      <w:r>
        <w:t>法附則第二条第二項の政令で定める期間は、五年（二年の据置期間を含む。）とする。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の規定による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法附則第二条第五項の政令で定める場合は、前項の規定により償還期限を繰り上げて償還を行った場合とする。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附則（平成二七年八月二八日政令第三〇五号）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社会資本整備重点計画法施行令</w:t>
      <w:br/>
      <w:tab/>
      <w:t>（平成十五年政令第百六十二号）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社会資本整備重点計画法施行令（平成十五年政令第百六十二号）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