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福島復興再生特別措置法第二十六条及び第三十八条の地方税の課税免除又は不均一課税に伴う措置が適用される場合等を定める省令</w:t>
        <w:br/>
        <w:t>（平成二十五年総務省令第四十九号）</w:t>
      </w:r>
    </w:p>
    <w:p>
      <w:pPr>
        <w:pStyle w:val="Heading4"/>
      </w:pPr>
      <w:r>
        <w:t>第一条（法第二十六条に規定する総務省令で定める場合）</w:t>
      </w:r>
    </w:p>
    <w:p>
      <w:r>
        <w:t>福島復興再生特別措置法（平成二十四年法律第二十五号。以下「法」という。）第二十六条に規定する総務省令で定める場合は、次の各号に掲げる税目の区分に応じ、当該各号に定める場合とする。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第二条（法第三十八条に規定する総務省令で定める場合）</w:t>
      </w:r>
    </w:p>
    <w:p>
      <w:r>
        <w:t>法第三十八条に規定する総務省令で定める場合は、次の各号に掲げる税目の区分に応じ、当該各号に定める場合とする。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第三条（第一条第一号の当該企業立地施設等に係る所得又は収入金額の計算方法等）</w:t>
      </w:r>
    </w:p>
    <w:p>
      <w:r>
        <w:t>第一条第一号の当該企業立地施設等に係るものとして計算した額及び第二条第一号の当該復興再生施設等に係るものとして計算した額は、次の各号に掲げる区分ごとにそれぞれ当該各号に定める算式によって計算した額の合算額とする。</w:t>
      </w:r>
    </w:p>
    <w:p>
      <w:pPr>
        <w:pStyle w:val="Heading6"/>
        <w:ind w:left="880"/>
      </w:pPr>
      <w:r>
        <w:t>一</w:t>
      </w:r>
    </w:p>
    <w:p>
      <w:pPr>
        <w:ind w:left="880"/>
      </w:pPr>
      <w:r>
        <w:t>電気供給業（電気事業法（昭和三十九年法律第百七十号）第二条第一項第二号に規定する小売電気事業（これに準ずるものを含む。）を除く。）、ガス供給業又は倉庫業に係る所得又は収入金額</w:t>
      </w:r>
    </w:p>
    <w:p>
      <w:pPr>
        <w:pStyle w:val="Heading6"/>
        <w:ind w:left="880"/>
      </w:pPr>
      <w:r>
        <w:t>二</w:t>
      </w:r>
    </w:p>
    <w:p>
      <w:pPr>
        <w:ind w:left="880"/>
      </w:pPr>
      <w:r>
        <w:t>鉄道事業又は軌道事業に係る所得金額</w:t>
      </w:r>
    </w:p>
    <w:p>
      <w:pPr>
        <w:pStyle w:val="Heading6"/>
        <w:ind w:left="880"/>
      </w:pPr>
      <w:r>
        <w:t>三</w:t>
      </w:r>
    </w:p>
    <w:p>
      <w:pPr>
        <w:ind w:left="880"/>
      </w:pPr>
      <w:r>
        <w:t>前二号以外の業種に係る所得又は収入金額</w:t>
      </w:r>
    </w:p>
    <w:p>
      <w:pPr>
        <w:pStyle w:val="Heading5"/>
        <w:ind w:left="440"/>
      </w:pPr>
      <w:r>
        <w:t>２</w:t>
      </w:r>
    </w:p>
    <w:p>
      <w:pPr>
        <w:ind w:left="440"/>
      </w:pPr>
      <w:r>
        <w:t>前項の固定資産の価額、軌道の延長キロメートル数及び従業者の数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r>
        <w:t>この省令は、改正法施行日から施行する。</w:t>
      </w:r>
    </w:p>
    <w:p>
      <w:r>
        <w:br w:type="page"/>
      </w:r>
    </w:p>
    <w:p>
      <w:pPr>
        <w:pStyle w:val="Heading1"/>
      </w:pPr>
      <w:r>
        <w:t>附　則（平成二七年五月七日総務省令第五二号）</w:t>
      </w:r>
    </w:p>
    <w:p>
      <w:r>
        <w:t>この省令は、福島復興再生特別措置法の一部を改正する法律（平成二十七年法律第二十号）の施行の日から施行する。</w:t>
      </w:r>
    </w:p>
    <w:p>
      <w:r>
        <w:br w:type="page"/>
      </w:r>
    </w:p>
    <w:p>
      <w:pPr>
        <w:pStyle w:val="Heading1"/>
      </w:pPr>
      <w:r>
        <w:t>附　則（平成二八年三月三一日総務省令第三五号）</w:t>
      </w:r>
    </w:p>
    <w:p>
      <w:r>
        <w:t>この省令は、平成二十八年四月一日から施行する。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福島復興再生特別措置法第二十六条及び第三十八条の地方税の課税免除又は不均一課税に伴う措置が適用される場合等を定める省令</w:t>
      <w:br/>
      <w:tab/>
      <w:t>（平成二十五年総務省令第四十九号）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福島復興再生特別措置法第二十六条及び第三十八条の地方税の課税免除又は不均一課税に伴う措置が適用される場合等を定める省令（平成二十五年総務省令第四十九号）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