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科学技術・学術審議会令</w:t>
        <w:br/>
        <w:t>（平成十二年政令第二百七十九号）</w:t>
      </w:r>
    </w:p>
    <w:p>
      <w:pPr>
        <w:pStyle w:val="Heading4"/>
      </w:pPr>
      <w:r>
        <w:t>第一条（組織）</w:t>
      </w:r>
    </w:p>
    <w:p>
      <w:r>
        <w:t>科学技術・学術審議会（以下「審議会」という。）は、委員三十人以内で組織する。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幹事は、関係行政機関の職員のうちから、文部科学大臣が任命する。</w:t>
      </w:r>
    </w:p>
    <w:p>
      <w:pPr>
        <w:pStyle w:val="Heading5"/>
        <w:ind w:left="440"/>
      </w:pPr>
      <w:r>
        <w:t>３</w:t>
      </w:r>
    </w:p>
    <w:p>
      <w:pPr>
        <w:ind w:left="440"/>
      </w:pPr>
      <w:r>
        <w:t>幹事は、審議会の所掌事務（学術分科会に係るものを除く。）について、委員、臨時委員及び専門委員を補佐する。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審議会の庶務は、文部科学省科学技術・学術政策局政策課において総括し、及び処理する。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　則（平成一五年三月二八日政令第九八号）</w:t>
      </w:r>
    </w:p>
    <w:p>
      <w:pPr>
        <w:pStyle w:val="Heading4"/>
      </w:pPr>
      <w:r>
        <w:t>第一条（施行期日）</w:t>
      </w:r>
    </w:p>
    <w:p>
      <w:r>
        <w:t>この政令は、平成十五年四月一日から施行する。</w:t>
      </w:r>
    </w:p>
    <w:p>
      <w:r>
        <w:br w:type="page"/>
      </w:r>
    </w:p>
    <w:p>
      <w:pPr>
        <w:pStyle w:val="Heading1"/>
      </w:pPr>
      <w:r>
        <w:t>附　則（平成二五年六月二六日政令第一八九号）</w:t>
      </w:r>
    </w:p>
    <w:p>
      <w:pPr>
        <w:pStyle w:val="Heading4"/>
      </w:pPr>
      <w:r>
        <w:t>第一条（施行期日）</w:t>
      </w:r>
    </w:p>
    <w:p>
      <w:r>
        <w:t>この政令は、平成二十五年七月一日から施行する。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科学技術・学術審議会令</w:t>
      <w:br/>
      <w:tab/>
      <w:t>（平成十二年政令第二百七十九号）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科学技術・学術審議会令（平成十二年政令第二百七十九号）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