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科学技術・学術審議会令</w:t>
        <w:br/>
        <w:t>（平成十二年政令第二百七十九号）</w:t>
      </w:r>
    </w:p>
    <w:p>
      <w:pPr>
        <w:pStyle w:val="Heading4"/>
      </w:pPr>
      <w:r>
        <w:t>第一条（組織）</w:t>
      </w:r>
    </w:p>
    <w:p>
      <w:r>
        <w:t>科学技術・学術審議会（以下「審議会」という。）は、委員三十人以内で組織する。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委員は、学識経験のある者のうちから、文部科学大臣が任命する。</w:t>
      </w:r>
    </w:p>
    <w:p>
      <w:pPr>
        <w:pStyle w:val="Heading5"/>
        <w:ind w:left="440"/>
      </w:pPr>
      <w:r>
        <w:t>２</w:t>
      </w:r>
    </w:p>
    <w:p>
      <w:pPr>
        <w:ind w:left="440"/>
      </w:pPr>
      <w:r>
        <w:t>臨時委員は、当該特別の事項に関し学識経験のある者のうちから、文部科学大臣が任命する。</w:t>
      </w:r>
    </w:p>
    <w:p>
      <w:pPr>
        <w:pStyle w:val="Heading5"/>
        <w:ind w:left="440"/>
      </w:pPr>
      <w:r>
        <w:t>３</w:t>
      </w:r>
    </w:p>
    <w:p>
      <w:pPr>
        <w:ind w:left="440"/>
      </w:pPr>
      <w:r>
        <w:t>専門委員は、当該専門の事項に関し学識経験のある者のうちから、文部科学大臣が任命する。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前項の表の上欄に掲げる分科会に属すべき委員、臨時委員及び専門委員は、文部科学大臣が指名する。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幹事は、関係行政機関の職員のうちから、文部科学大臣が任命する。</w:t>
      </w:r>
    </w:p>
    <w:p>
      <w:pPr>
        <w:pStyle w:val="Heading5"/>
        <w:ind w:left="440"/>
      </w:pPr>
      <w:r>
        <w:t>３</w:t>
      </w:r>
    </w:p>
    <w:p>
      <w:pPr>
        <w:ind w:left="440"/>
      </w:pPr>
      <w:r>
        <w:t>幹事は、審議会の所掌事務（学術分科会に係るものを除く。）について、委員、臨時委員及び専門委員を補佐する。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4"/>
      </w:pPr>
      <w:r>
        <w:t>第九条（資料の提出等の要求）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第十条（庶務）</w:t>
      </w:r>
    </w:p>
    <w:p>
      <w:r>
        <w:t>審議会の庶務は、文部科学省科学技術・学術政策局政策課において総括し、及び処理する。</w:t>
        <w:br/>
        <w:t>ただし、研究計画・評価分科会に係るものについては文部科学省科学技術・学術政策局企画評価課において、学術分科会に係るものについては文部科学省科学技術・学術政策局政策課において文部科学省研究振興局振興企画課の協力を得て、海洋開発分科会に係るものについては文部科学省研究開発局海洋地球課において、測地学分科会に係るものについては文部科学省研究開発局地震・防災研究課において、技術士分科会に係るものについては文部科学省科学技術・学術政策局人材政策課において処理する。</w:t>
      </w:r>
    </w:p>
    <w:p>
      <w:pPr>
        <w:pStyle w:val="Heading4"/>
      </w:pPr>
      <w:r>
        <w:t>第十一条（雑則）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この政令は、平成十三年一月六日から施行する。</w:t>
      </w:r>
    </w:p>
    <w:p>
      <w:r>
        <w:br w:type="page"/>
      </w:r>
    </w:p>
    <w:p>
      <w:pPr>
        <w:pStyle w:val="Heading1"/>
      </w:pPr>
      <w:r>
        <w:t>附則（平成一五年三月二八日政令第九八号）</w:t>
      </w:r>
    </w:p>
    <w:p>
      <w:pPr>
        <w:pStyle w:val="Heading4"/>
      </w:pPr>
      <w:r>
        <w:t>第一条（施行期日）</w:t>
      </w:r>
    </w:p>
    <w:p>
      <w:r>
        <w:t>この政令は、平成十五年四月一日から施行する。</w:t>
      </w:r>
    </w:p>
    <w:p>
      <w:r>
        <w:br w:type="page"/>
      </w:r>
    </w:p>
    <w:p>
      <w:pPr>
        <w:pStyle w:val="Heading1"/>
      </w:pPr>
      <w:r>
        <w:t>附則（平成二五年六月二六日政令第一八九号）</w:t>
      </w:r>
    </w:p>
    <w:p>
      <w:pPr>
        <w:pStyle w:val="Heading4"/>
      </w:pPr>
      <w:r>
        <w:t>第一条（施行期日）</w:t>
      </w:r>
    </w:p>
    <w:p>
      <w:r>
        <w:t>この政令は、平成二十五年七月一日から施行する。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科学技術・学術審議会令</w:t>
      <w:br/>
      <w:tab/>
      <w:t>（平成十二年政令第二百七十九号）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科学技術・学術審議会令（平成十二年政令第二百七十九号）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