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税関職員服制</w:t>
        <w:br/>
        <w:t>（昭和四十四年大蔵省令第五十号）</w:t>
      </w:r>
    </w:p>
    <w:p>
      <w:pPr>
        <w:pStyle w:val="Heading4"/>
      </w:pPr>
      <w:r>
        <w:t>第一条</w:t>
      </w:r>
    </w:p>
    <w:p>
      <w:r>
        <w:t>税関職員の服制は、別表に定めるところによる。</w:t>
      </w:r>
    </w:p>
    <w:p>
      <w:pPr>
        <w:pStyle w:val="Heading4"/>
      </w:pPr>
      <w:r>
        <w:t>第二条</w:t>
      </w:r>
    </w:p>
    <w:p>
      <w:r>
        <w:t>税関職員は、関税法（昭和二十九年法律第六十一号）第百五条第一項（税関職員の権限）に規定する行為で次に掲げるものを行なうときは、制服を着用しないことができる。</w:t>
      </w:r>
    </w:p>
    <w:p>
      <w:pPr>
        <w:pStyle w:val="ListBullet"/>
        <w:ind w:left="880"/>
      </w:pPr>
      <w:r>
        <w:t>一</w:t>
        <w:br/>
        <w:t>同項第四号の二から第六号までに掲げる行為</w:t>
      </w:r>
    </w:p>
    <w:p>
      <w:pPr>
        <w:pStyle w:val="ListBullet"/>
        <w:ind w:left="880"/>
      </w:pPr>
      <w:r>
        <w:t>二</w:t>
        <w:br/>
        <w:t>前号に掲げるもののほか税関長が指定するもの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税関職員は、この省令の規定にかかわらず、当分の間、なお従前の制服を用いることができる。</w:t>
      </w:r>
    </w:p>
    <w:p>
      <w:r>
        <w:br w:type="page"/>
      </w:r>
    </w:p>
    <w:p>
      <w:pPr>
        <w:pStyle w:val="Heading1"/>
      </w:pPr>
      <w:r>
        <w:t>附則（昭和四七年四月一日大蔵省令第二二号）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附則（昭和五四年四月五日大蔵省令第二四号）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附則（昭和六〇年一二月二一日大蔵省令第五九号）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附則（平成五年一一月二五日大蔵省令第九六号）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附則（平成二二年四月一日財務省令第二八号）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税関職員は、この省令の規定にかかわらず、当分の間、なお従前の服制によることができる。</w:t>
      </w:r>
    </w:p>
    <w:p>
      <w:pPr>
        <w:pStyle w:val="ListBullet"/>
        <w:ind w:left="880"/>
      </w:pPr>
      <w:r>
        <w:t>（一）</w:t>
        <w:br/>
        <w:t>男子</w:t>
      </w:r>
    </w:p>
    <w:p>
      <w:pPr>
        <w:pStyle w:val="ListBullet"/>
        <w:ind w:left="880"/>
      </w:pPr>
      <w:r>
        <w:t>（二）</w:t>
        <w:br/>
        <w:t>女子</w:t>
      </w:r>
    </w:p>
    <w:p>
      <w:pPr>
        <w:pStyle w:val="ListBullet"/>
        <w:ind w:left="880"/>
      </w:pPr>
      <w:r>
        <w:t>（三）</w:t>
        <w:br/>
        <w:t>階級章</w:t>
      </w:r>
    </w:p>
    <w:p>
      <w:pPr>
        <w:pStyle w:val="ListBullet"/>
        <w:ind w:left="880"/>
      </w:pPr>
      <w:r>
        <w:t>１</w:t>
        <w:br/>
        <w:t>階級章は、上衣のはとめに付ける。</w:t>
      </w:r>
    </w:p>
    <w:p>
      <w:pPr>
        <w:pStyle w:val="ListBullet"/>
        <w:ind w:left="880"/>
      </w:pPr>
      <w:r>
        <w:t>２</w:t>
        <w:br/>
        <w:t>ワイシャツは、白色とする。</w:t>
      </w:r>
    </w:p>
    <w:p>
      <w:pPr>
        <w:pStyle w:val="ListBullet"/>
        <w:ind w:left="880"/>
      </w:pPr>
      <w:r>
        <w:t>３</w:t>
        <w:br/>
        <w:t>ネクタイは紺色とする。</w:t>
      </w:r>
    </w:p>
    <w:p>
      <w:pPr>
        <w:pStyle w:val="ListBullet"/>
        <w:ind w:left="880"/>
      </w:pPr>
      <w:r>
        <w:t>４</w:t>
        <w:br/>
        <w:t>ベルトは黒色とする。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税関職員服制</w:t>
      <w:br/>
      <w:tab/>
      <w:t>（昭和四十四年大蔵省令第五十号）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税関職員服制（昭和四十四年大蔵省令第五十号）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