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税関職員服制</w:t>
        <w:br/>
        <w:t>（昭和四十四年大蔵省令第五十号）</w:t>
      </w:r>
    </w:p>
    <w:p>
      <w:pPr>
        <w:pStyle w:val="Heading4"/>
      </w:pPr>
      <w:r>
        <w:t>第一条</w:t>
      </w:r>
    </w:p>
    <w:p>
      <w:r>
        <w:t>税関職員の服制は、別表に定めるところによる。</w:t>
      </w:r>
    </w:p>
    <w:p>
      <w:pPr>
        <w:pStyle w:val="Heading4"/>
      </w:pPr>
      <w:r>
        <w:t>第二条</w:t>
      </w:r>
    </w:p>
    <w:p>
      <w:r>
        <w:t>税関職員は、関税法（昭和二十九年法律第六十一号）第百五条第一項（税関職員の権限）に規定する行為で次に掲げるものを行なうときは、制服を着用しないことができる。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同項第四号の二から第六号までに掲げる行為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前号に掲げるもののほか税関長が指定するもの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税関職員は、この省令の規定にかかわらず、当分の間、なお従前の制服を用いることができる。</w:t>
      </w:r>
    </w:p>
    <w:p>
      <w:r>
        <w:br w:type="page"/>
      </w:r>
    </w:p>
    <w:p>
      <w:pPr>
        <w:pStyle w:val="Heading1"/>
      </w:pPr>
      <w:r>
        <w:t>附　則（昭和四七年四月一日大蔵省令第二二号）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則（昭和五四年四月五日大蔵省令第二四号）</w:t>
      </w:r>
    </w:p>
    <w:p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　則（昭和六〇年一二月二一日大蔵省令第五九号）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則（平成五年一一月二五日大蔵省令第九六号）</w:t>
      </w:r>
    </w:p>
    <w:p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　則（平成二二年四月一日財務省令第二八号）</w:t>
      </w:r>
    </w:p>
    <w:p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税関職員服制</w:t>
      <w:br/>
      <w:tab/>
      <w:t>（昭和四十四年大蔵省令第五十号）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税関職員服制（昭和四十四年大蔵省令第五十号）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