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空家等対策の推進に関する特別措置法施行規則</w:t>
        <w:br/>
        <w:t>（平成二十七年総務省・国土交通省令第一号）</w:t>
      </w:r>
    </w:p>
    <w:p>
      <w:r>
        <w:t>空家等対策の推進に関する特別措置法第十四条第十一項の国土交通省令・総務省令で定める方法は、市町村（特別区を含む。）の公報への掲載、インターネットの利用その他の適切な方法とする。</w:t>
      </w:r>
    </w:p>
    <w:p>
      <w:r>
        <w:br w:type="page"/>
      </w:r>
    </w:p>
    <w:p>
      <w:pPr>
        <w:pStyle w:val="Heading1"/>
      </w:pPr>
      <w:r>
        <w:t>附　則</w:t>
      </w:r>
    </w:p>
    <w:p>
      <w:r>
        <w:t>この省令は、空家等対策の推進に関する特別措置法附則第一項ただし書に規定する規定の施行の日（平成二十七年五月二十六日）から施行する。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空家等対策の推進に関する特別措置法施行規則</w:t>
      <w:br/>
      <w:tab/>
      <w:t>（平成二十七年総務省・国土交通省令第一号）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空家等対策の推進に関する特別措置法施行規則（平成二十七年総務省・国土交通省令第一号）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