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細菌兵器（生物兵器）及び毒素兵器の開発、生産及び貯蔵の禁止並びに廃棄に関する条約等の実施に関する法律施行令</w:t>
        <w:br/>
        <w:t>（平成七年政令第三百九十六号）</w:t>
      </w:r>
    </w:p>
    <w:p>
      <w:pPr>
        <w:pStyle w:val="Heading4"/>
      </w:pPr>
      <w:r>
        <w:t>第一条（報告徴収）</w:t>
      </w:r>
    </w:p>
    <w:p>
      <w:r>
        <w:t>細菌兵器（生物兵器）及び毒素兵器の開発、生産及び貯蔵の禁止並びに廃棄に関する条約等の実施に関する法律（以下「法」という。）第五条第一項の規定により主務大臣が業として生物剤又は毒素を取り扱う者（以下「生物剤等取扱者」という。）に対し報告を求めることができる事項は、当該生物剤又は毒素の種類、数量その他の取扱いの業務に関する事項とする。</w:t>
      </w:r>
    </w:p>
    <w:p>
      <w:pPr>
        <w:pStyle w:val="Heading4"/>
      </w:pPr>
      <w:r>
        <w:t>第二条（主務大臣）</w:t>
      </w:r>
    </w:p>
    <w:p>
      <w:r>
        <w:t>法第三条第二項の規定による周知のための措置についての主務大臣は、文部科学大臣、厚生労働大臣、農林水産大臣及び経済産業大臣とする。</w:t>
      </w:r>
    </w:p>
    <w:p>
      <w:pPr>
        <w:pStyle w:val="Heading5"/>
        <w:ind w:left="440"/>
      </w:pPr>
      <w:r>
        <w:t>２</w:t>
      </w:r>
    </w:p>
    <w:p>
      <w:pPr>
        <w:ind w:left="440"/>
      </w:pPr>
      <w:r>
        <w:t>法第五条第一項の規定による報告の徴収についての主務大臣は、生物剤等取扱者が行う生物剤又は毒素に係る事業を所管する大臣とする。</w:t>
      </w:r>
    </w:p>
    <w:p>
      <w:r>
        <w:br w:type="page"/>
      </w:r>
    </w:p>
    <w:p>
      <w:pPr>
        <w:pStyle w:val="Heading1"/>
      </w:pPr>
      <w:r>
        <w:t>附　則</w:t>
      </w:r>
    </w:p>
    <w:p>
      <w:r>
        <w:t>この政令は、公布の日から施行する。</w:t>
      </w:r>
    </w:p>
    <w:p>
      <w:r>
        <w:br w:type="page"/>
      </w:r>
    </w:p>
    <w:p>
      <w:pPr>
        <w:pStyle w:val="Heading1"/>
      </w:pPr>
      <w:r>
        <w:t>附　則（平成一二年六月七日政令第三〇六号）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細菌兵器（生物兵器）及び毒素兵器の開発、生産及び貯蔵の禁止並びに廃棄に関する条約等の実施に関する法律施行令</w:t>
      <w:br/>
      <w:tab/>
      <w:t>（平成七年政令第三百九十六号）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細菌兵器（生物兵器）及び毒素兵器の開発、生産及び貯蔵の禁止並びに廃棄に関する条約等の実施に関する法律施行令（平成七年政令第三百九十六号）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