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経済産業省の所管する法令に係る民間事業者等が行う書面の保存等における情報通信の技術の利用に関する法律施行規則</w:t>
        <w:br/>
        <w:t>（平成十七年経済産業省令第三十二号）</w:t>
      </w:r>
    </w:p>
    <w:p>
      <w:pPr>
        <w:pStyle w:val="Heading4"/>
      </w:pPr>
      <w:r>
        <w:t>第一条（趣旨）</w:t>
      </w:r>
    </w:p>
    <w:p>
      <w:r>
        <w:t>民間事業者等が、経済産業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5"/>
        <w:ind w:left="440"/>
      </w:pPr>
      <w:r>
        <w:t>４</w:t>
      </w:r>
    </w:p>
    <w:p>
      <w:pPr>
        <w:ind w:left="440"/>
      </w:pPr>
      <w:r>
        <w:t>民間事業者等が、第一項の規定に基づく電磁的記録の保存を行う場合のうち、別表第二の上欄に掲げる法令の同表の下欄に掲げる規定に基づく書面の保存に代えて当該書面に係る電磁的記録の保存を行う場合は、経済産業大臣が定める基準を確保するよう努め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三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法第六条第一項の主務省令で定める交付等は、別表第五の上欄に掲げる法令の同表の下欄に掲げる規定に基づく書面の交付等とする。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五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前条第一項各号に掲げる方法のうち民間事業者等が使用するもの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則（平成一七年五月一八日経済産業省令第六一号）</w:t>
      </w:r>
    </w:p>
    <w:p>
      <w:r>
        <w:t>この省令は、海洋汚染及び海上災害の防止に関する法律等の一部を改正する法律の施行の日（平成十七年五月十九日）から施行する。</w:t>
      </w:r>
    </w:p>
    <w:p>
      <w:r>
        <w:br w:type="page"/>
      </w:r>
    </w:p>
    <w:p>
      <w:pPr>
        <w:pStyle w:val="Heading1"/>
      </w:pPr>
      <w:r>
        <w:t>附　則（平成一七年八月二四日経済産業省令第八二号）</w:t>
      </w:r>
    </w:p>
    <w:p>
      <w:pPr>
        <w:pStyle w:val="Heading4"/>
      </w:pPr>
      <w:r>
        <w:t>第一条（施行期日）</w:t>
      </w:r>
    </w:p>
    <w:p>
      <w:r>
        <w:t>この省令は、法の施行の日（平成十七年十月一日）から施行する。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r>
    </w:p>
    <w:p>
      <w:r>
        <w:br w:type="page"/>
      </w:r>
    </w:p>
    <w:p>
      <w:pPr>
        <w:pStyle w:val="Heading1"/>
      </w:pPr>
      <w:r>
        <w:t>附　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　則（平成二一年八月二八日経済産業省令第五〇号）</w:t>
      </w:r>
    </w:p>
    <w:p>
      <w:r>
        <w:t>この省令は、消費者庁及び消費者委員会設置法（平成二十一年法律第四十八号）の施行の日（平成二十一年九月一日）から施行する。</w:t>
      </w:r>
    </w:p>
    <w:p>
      <w:r>
        <w:br w:type="page"/>
      </w:r>
    </w:p>
    <w:p>
      <w:pPr>
        <w:pStyle w:val="Heading1"/>
      </w:pPr>
      <w:r>
        <w:t>附　則（平成二二年六月二四日経済産業省令第三八号）</w:t>
      </w:r>
    </w:p>
    <w:p>
      <w:pPr>
        <w:pStyle w:val="Heading4"/>
      </w:pPr>
      <w:r>
        <w:t>第一条（施行期日）</w:t>
      </w:r>
    </w:p>
    <w:p>
      <w:r>
        <w:t>この省令は、法の施行の日から施行する。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r>
        <w:br w:type="page"/>
      </w:r>
    </w:p>
    <w:p>
      <w:pPr>
        <w:pStyle w:val="Heading1"/>
      </w:pPr>
      <w:r>
        <w:t>附　則（平成二八年九月三〇日経済産業省令第九二号）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　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経済産業省の所管する法令に係る民間事業者等が行う書面の保存等における情報通信の技術の利用に関する法律施行規則</w:t>
      <w:br/>
      <w:tab/>
      <w:t>（平成十七年経済産業省令第三十二号）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経済産業省の所管する法令に係る民間事業者等が行う書面の保存等における情報通信の技術の利用に関する法律施行規則（平成十七年経済産業省令第三十二号）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