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経済産業省関係研究開発システムの改革の推進等による研究開発能力の強化及び研究開発等の効率的推進等に関する法律施行規則</w:t>
        <w:br/>
        <w:t>（平成二十年経済産業省令第七十六号）</w:t>
      </w:r>
    </w:p>
    <w:p>
      <w:r>
        <w:t>研究開発システムの改革の推進等による研究開発能力の強化及び研究開発等の効率的推進等に関する法律施行令（以下「令」という。）第六条第四項第三号の命令で定める本邦法人又は外国法人等は、次に掲げる本邦法人又は外国法人等とする。</w:t>
      </w:r>
    </w:p>
    <w:p>
      <w:pPr>
        <w:pStyle w:val="Heading6"/>
        <w:ind w:left="880"/>
      </w:pPr>
      <w:r>
        <w:t>一</w:t>
      </w:r>
    </w:p>
    <w:p>
      <w:pPr>
        <w:ind w:left="880"/>
      </w:pPr>
      <w:r>
        <w:t>発明者等が所属する本邦法人又は外国法人等（以下「特定法人等」という。）により発行済株式の総数、出資口数の総数又は出資価額の総額（以下「発行済株式の総数等」という。）の百分の五十を超える数又は額の株式又は出資を所有されている法人（以下「特定子会社」という。）</w:t>
      </w:r>
    </w:p>
    <w:p>
      <w:pPr>
        <w:pStyle w:val="Heading6"/>
        <w:ind w:left="880"/>
      </w:pPr>
      <w:r>
        <w:t>二</w:t>
      </w:r>
    </w:p>
    <w:p>
      <w:pPr>
        <w:ind w:left="880"/>
      </w:pPr>
      <w:r>
        <w:t>特定法人等の発行済株式の総数等の百分の五十を超える数又は額の株式又は出資を所有する法人（以下「特定親会社」という。）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r>
        <w:br w:type="page"/>
      </w:r>
    </w:p>
    <w:p>
      <w:pPr>
        <w:pStyle w:val="Heading1"/>
      </w:pPr>
      <w:r>
        <w:t>附　則</w:t>
      </w:r>
    </w:p>
    <w:p>
      <w:pPr>
        <w:pStyle w:val="Heading4"/>
      </w:pPr>
      <w:r>
        <w:t>第一条（施行期日）</w:t>
      </w:r>
    </w:p>
    <w:p>
      <w:r>
        <w:t>この省令は、平成二十年十月二十一日から施行する。</w:t>
      </w:r>
    </w:p>
    <w:p>
      <w:pPr>
        <w:pStyle w:val="Heading4"/>
      </w:pPr>
      <w:r>
        <w:t>第二条（経済産業省関係研究交流促進法施行規則の廃止）</w:t>
      </w:r>
    </w:p>
    <w:p>
      <w:r>
        <w:t>経済産業省関係研究交流促進法施行規則（平成十三年三月二十七日経済産業省令第四十八号）は、廃止する。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経済産業省関係研究開発システムの改革の推進等による研究開発能力の強化及び研究開発等の効率的推進等に関する法律施行規則</w:t>
      <w:br/>
      <w:tab/>
      <w:t>（平成二十年経済産業省令第七十六号）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経済産業省関係研究開発システムの改革の推進等による研究開発能力の強化及び研究開発等の効率的推進等に関する法律施行規則（平成二十年経済産業省令第七十六号）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