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経済連携協定に基づく申告原産品に係る情報の提供等に関する法律第七条第二項の規定により質問又は検査に立ち会う職員の携帯する身分を示す証明書の様式を定める省令</w:t>
        <w:br/>
        <w:t>（平成二十六年経済産業省令第六十五号）</w:t>
      </w:r>
    </w:p>
    <w:p>
      <w:r>
        <w:t>経済連携協定に基づく申告原産品に係る情報の提供等に関する法律（平成二十六年法律第百十二号）第七条第二項の規定により質問又は検査に立ち会う職員の携帯する身分を示す証明書は、別記様式によるものとする。</w:t>
      </w:r>
    </w:p>
    <w:p>
      <w:r>
        <w:br w:type="page"/>
      </w:r>
    </w:p>
    <w:p>
      <w:pPr>
        <w:pStyle w:val="Heading1"/>
      </w:pPr>
      <w:r>
        <w:t>附　則</w:t>
      </w:r>
    </w:p>
    <w:p>
      <w:r>
        <w:t>この省令は、経済上の連携に関する日本国とオーストラリアとの間の協定の効力発生の日から施行する。</w:t>
      </w:r>
    </w:p>
    <w:p>
      <w:r>
        <w:br w:type="page"/>
      </w:r>
    </w:p>
    <w:p>
      <w:pPr>
        <w:pStyle w:val="Heading1"/>
      </w:pPr>
      <w:r>
        <w:t>附　則（平成二九年一月一七日経済産業省令第二号）</w:t>
      </w:r>
    </w:p>
    <w:p>
      <w:r>
        <w:t>この省令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r>
        <w:br w:type="page"/>
      </w:r>
    </w:p>
    <w:p>
      <w:pPr>
        <w:pStyle w:val="Heading1"/>
      </w:pPr>
      <w:r>
        <w:t>附　則（平成三〇年七月一一日経済産業省令第四六号）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経済連携協定に基づく申告原産品に係る情報の提供等に関する法律第七条第二項の規定により質問又は検査に立ち会う職員の携帯する身分を示す証明書の様式を定める省令</w:t>
      <w:br/>
      <w:tab/>
      <w:t>（平成二十六年経済産業省令第六十五号）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申告原産品に係る情報の提供等に関する法律第七条第二項の規定により質問又は検査に立ち会う職員の携帯する身分を示す証明書の様式を定める省令（平成二十六年経済産業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