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絶滅のおそれのある野生動植物の種の保存に関する法律第二十三条第一項に規定する個体等登録機関に係る民間事業者等が行う書面の保存等における情報通信の技術の利用に関する省令</w:t>
        <w:br/>
        <w:t>（平成十七年環境省令第五号）</w:t>
      </w:r>
    </w:p>
    <w:p>
      <w:pPr>
        <w:pStyle w:val="Heading4"/>
      </w:pPr>
      <w:r>
        <w:t>第一条（趣旨）</w:t>
      </w:r>
    </w:p>
    <w:p>
      <w:r>
        <w:t>民間事業者等が、絶滅のおそれのある野生動植物の種の保存に関する法律（平成四年法律第七十五号）第二十三条第一項に規定する個体等登録機関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法第三条第一項の主務省令で定める保存は、絶滅のおそれのある野生動植物の種の保存に関する法律第二十四条第六項及び第八項の規定に基づく書面の保存とする。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法第四条第一項の主務省令で定める作成は、絶滅のおそれのある野生動植物の種の保存に関する法律第二十四条第八項の規定に基づく書面の作成とする。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第七条（法第五条第一項の主務省令で定める縦覧等）</w:t>
      </w:r>
    </w:p>
    <w:p>
      <w:r>
        <w:t>法第五条第一項の主務省令で定める縦覧等は、絶滅のおそれのある野生動植物の種の保存に関する法律第二十四条第七項第一号の規定に基づく書面の縦覧等とする。</w:t>
      </w:r>
    </w:p>
    <w:p>
      <w:pPr>
        <w:pStyle w:val="Heading4"/>
      </w:pPr>
      <w:r>
        <w:t>第八条（電磁的記録による縦覧等）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第九条（法第六条第一項の主務省令で定める交付等）</w:t>
      </w:r>
    </w:p>
    <w:p>
      <w:r>
        <w:t>法第六条第一項の主務省令で定める交付等は、絶滅のおそれのある野生動植物の種の保存に関する法律第二十四条第七項第二号の規定に基づく書面の交付等とする。</w:t>
      </w:r>
    </w:p>
    <w:p>
      <w:pPr>
        <w:pStyle w:val="Heading4"/>
      </w:pPr>
      <w:r>
        <w:t>第十条（電磁的記録による交付等）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磁気ディスク等をもって調整するファイルに書面に記載すべき事項を記録したものを交付する方法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第十一条（電磁的方法による承諾）</w:t>
      </w:r>
    </w:p>
    <w:p>
      <w:r>
        <w:t>民間事業者等が行う書面の保存等における情報通信の技術の利用に関する法律施行令第二条第一項の規定により交付等の相手方に示すべき方法の種類及び内容は、次に掲げる事項とする。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附則（平成三〇年四月三日環境省令第八号）</w:t>
      </w:r>
    </w:p>
    <w:p>
      <w:pPr>
        <w:pStyle w:val="Heading5"/>
        <w:ind w:left="440"/>
      </w:pPr>
      <w:r>
        <w:t>１</w:t>
      </w:r>
    </w:p>
    <w:p>
      <w:pPr>
        <w:ind w:left="440"/>
      </w:pPr>
      <w:r>
        <w:t>この省令は、絶滅のおそれのある野生動植物の種の保存に関する法律の一部を改正する法律の施行の日（平成三十年六月一日）から施行する。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絶滅のおそれのある野生動植物の種の保存に関する法律第二十三条第一項に規定する個体等登録機関に係る民間事業者等が行う書面の保存等における情報通信の技術の利用に関する省令</w:t>
      <w:br/>
      <w:tab/>
      <w:t>（平成十七年環境省令第五号）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絶滅のおそれのある野生動植物の種の保存に関する法律第二十三条第一項に規定する個体等登録機関に係る民間事業者等が行う書面の保存等における情報通信の技術の利用に関する省令（平成十七年環境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