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総務省国立研究開発法人審議会令</w:t>
        <w:br/>
        <w:t>（平成二十七年政令第百九十二号）</w:t>
      </w:r>
    </w:p>
    <w:p>
      <w:pPr>
        <w:pStyle w:val="Heading4"/>
      </w:pPr>
      <w:r>
        <w:t>第一条（組織）</w:t>
      </w:r>
    </w:p>
    <w:p>
      <w:r>
        <w:t>総務省の国立研究開発法人審議会（以下「審議会」という。）は、委員七人以内で組織する。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総務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専門委員は、当該専門の事項に関し学識経験のある者（その者が外国人である場合にあっては、当該専門の事項に係る研究開発に関して高い識見を有する者）のうちから、総務大臣が任命する。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審議会の庶務は、総務省国際戦略局技術政策課において処理する。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附則（平成二九年九月一日政令第二三〇号）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総務省国立研究開発法人審議会令</w:t>
      <w:br/>
      <w:tab/>
      <w:t>（平成二十七年政令第百九十二号）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総務省国立研究開発法人審議会令（平成二十七年政令第百九十二号）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