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総務省関係科学技術・イノベーション創出の活性化に関する法律施行規則</w:t>
        <w:br/>
        <w:t>（平成二十年総務省令第百十五号）</w:t>
      </w:r>
    </w:p>
    <w:p>
      <w:pPr>
        <w:pStyle w:val="Heading4"/>
      </w:pPr>
      <w:r>
        <w:t>第一条（研究所、研究部その他の命令で定める部課等）</w:t>
      </w:r>
    </w:p>
    <w:p>
      <w:r>
        <w:t>科学技術・イノベーション創出の活性化に関する法律施行令（以下「令」という。）第二条第一項第二号の命令で定める部課等は、消防庁消防大学校消防研究センターとする。</w:t>
      </w:r>
    </w:p>
    <w:p>
      <w:pPr>
        <w:pStyle w:val="Heading4"/>
      </w:pPr>
      <w:r>
        <w:t>第二条（外国人を任用できない職の範囲）</w:t>
      </w:r>
    </w:p>
    <w:p>
      <w:r>
        <w:t>令第三条第一項の命令で定める職は、消防庁消防大学校消防研究センターの消防研究センター所長及び研究統括官とする。</w:t>
      </w:r>
    </w:p>
    <w:p>
      <w:pPr>
        <w:pStyle w:val="Heading4"/>
      </w:pPr>
      <w:r>
        <w:t>第三条（本邦法人又は外国法人等の範囲）</w:t>
      </w:r>
    </w:p>
    <w:p>
      <w:r>
        <w:t>令第六条第四項第三号の命令で定める本邦法人又は外国法人等は、次に掲げる本邦法人又は外国法人等とする。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二の項第一号に掲げる機関（以下「機関」という。）の国有の試験研究施設の使用に関し令第八条第一項の認定を受けようとする者は、別記様式第一の申請書の正本一通及び副本一通を総務大臣に提出しなければならない。</w:t>
      </w:r>
    </w:p>
    <w:p>
      <w:pPr>
        <w:pStyle w:val="Heading5"/>
        <w:ind w:left="440"/>
      </w:pPr>
      <w:r>
        <w:t>２</w:t>
      </w:r>
    </w:p>
    <w:p>
      <w:pPr>
        <w:ind w:left="440"/>
      </w:pPr>
      <w:r>
        <w:t>総務大臣は、前項の申請書を受理した場合において、令第八条第一項の認定をしたときは、その申請をした者に別記様式第二の認定書を交付するものとする。</w:t>
      </w:r>
    </w:p>
    <w:p>
      <w:pPr>
        <w:pStyle w:val="Heading4"/>
      </w:pPr>
      <w:r>
        <w:t>第五条（国有地減額使用の手続）</w:t>
      </w:r>
    </w:p>
    <w:p>
      <w:r>
        <w:t>機関の敷地内に整備する施設の用に供する土地の使用に関し令第九条第一項の認定を受けようとする者は、別記様式第三の申請書の正本一通及び副本一通を総務大臣に提出しなければならない。</w:t>
      </w:r>
    </w:p>
    <w:p>
      <w:pPr>
        <w:pStyle w:val="Heading5"/>
        <w:ind w:left="440"/>
      </w:pPr>
      <w:r>
        <w:t>２</w:t>
      </w:r>
    </w:p>
    <w:p>
      <w:pPr>
        <w:ind w:left="440"/>
      </w:pPr>
      <w:r>
        <w:t>総務大臣は、前項の申請書を受理した場合において、令第九条第一項の認定をしたときは、その申請をした者に別記様式第四の認定書を交付するものとする。</w:t>
      </w:r>
    </w:p>
    <w:p>
      <w:pPr>
        <w:pStyle w:val="Heading4"/>
      </w:pPr>
      <w:r>
        <w:t>第六条（中核的研究機関に係る特例）</w:t>
      </w:r>
    </w:p>
    <w:p>
      <w:r>
        <w:t>科学技術・イノベーション創出の活性化に関する法律（以下「法」という。）第三十七条第一項の規定による公示は、次に掲げる事項を官報に掲載して行うものとする。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第七条</w:t>
      </w:r>
    </w:p>
    <w:p>
      <w:r>
        <w:t>機関が中核的研究機関である場合において、当該中核的研究機関の国有の試験研究施設の使用に関し令第十一条第一項の認定を受けようとする者は、別記様式第五の申請書の正本一通及び副本一通を、総務大臣に提出しなければならない。</w:t>
      </w:r>
    </w:p>
    <w:p>
      <w:pPr>
        <w:pStyle w:val="Heading5"/>
        <w:ind w:left="440"/>
      </w:pPr>
      <w:r>
        <w:t>２</w:t>
      </w:r>
    </w:p>
    <w:p>
      <w:pPr>
        <w:ind w:left="440"/>
      </w:pPr>
      <w:r>
        <w:t>総務大臣は、前項の申請書を受理した場合において、令第十一条第一項の認定をしたときは、その申請をした者に別記様式第六の認定書を交付するものとする。</w:t>
      </w:r>
    </w:p>
    <w:p>
      <w:pPr>
        <w:pStyle w:val="Heading4"/>
      </w:pPr>
      <w:r>
        <w:t>第八条</w:t>
      </w:r>
    </w:p>
    <w:p>
      <w:r>
        <w:t>機関が中核的研究機関である場合において、当該中核的研究機関の敷地内に整備する施設の用に供する土地の使用に関し令第十二条第一項の認定を受けようとする者は、別記様式第七の申請書の正本一通及び副本一通を、総務大臣に提出しなければならない。</w:t>
      </w:r>
    </w:p>
    <w:p>
      <w:pPr>
        <w:pStyle w:val="Heading5"/>
        <w:ind w:left="440"/>
      </w:pPr>
      <w:r>
        <w:t>２</w:t>
      </w:r>
    </w:p>
    <w:p>
      <w:pPr>
        <w:ind w:left="440"/>
      </w:pPr>
      <w:r>
        <w:t>総務大臣は、前項の申請書を受理した場合において、令第十二条第一項の認定をしたときは、その申請をした者に別記様式第八の認定書を交付するものとする。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第二条（総務省関係研究交流促進法施行規則の廃止）</w:t>
      </w:r>
    </w:p>
    <w:p>
      <w:r>
        <w:t>総務省関係研究交流促進法施行規則（平成十八年総務省令第六十五号）は、廃止する。</w:t>
      </w:r>
    </w:p>
    <w:p>
      <w:r>
        <w:br w:type="page"/>
      </w:r>
    </w:p>
    <w:p>
      <w:pPr>
        <w:pStyle w:val="Heading1"/>
      </w:pPr>
      <w:r>
        <w:t>附　則（平成三一年一月一七日総務省令第一号）</w:t>
      </w:r>
    </w:p>
    <w:p>
      <w:r>
        <w:t>この省令は、平成三十一年一月十七日から施行する。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則（令和二年一二月二五日総務省令第一二六号）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総務省関係科学技術・イノベーション創出の活性化に関する法律施行規則</w:t>
      <w:br/>
      <w:tab/>
      <w:t>（平成二十年総務省令第百十五号）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総務省関係科学技術・イノベーション創出の活性化に関する法律施行規則（平成二十年総務省令第百十五号）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