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緑の気候基金への拠出及びこれに伴う措置に関する法律</w:t>
        <w:br/>
        <w:t>（平成二十七年法律第二十四号）</w:t>
      </w:r>
    </w:p>
    <w:p>
      <w:pPr>
        <w:pStyle w:val="Heading4"/>
      </w:pPr>
      <w:r>
        <w:t>第一条（目的）</w:t>
      </w:r>
    </w:p>
    <w:p>
      <w:r>
        <w:t>この法律は、気候変動に関する国際連合枠組条約の資金供与の制度の運営を委託された緑の気候基金（以下「基金」という。）に拠出するために必要な措置を講じ、及び同条約の円滑な履行を確保することを目的とする。</w:t>
      </w:r>
    </w:p>
    <w:p>
      <w:pPr>
        <w:pStyle w:val="Heading4"/>
      </w:pPr>
      <w:r>
        <w:t>第二条（拠出）</w:t>
      </w:r>
    </w:p>
    <w:p>
      <w:r>
        <w:t>政府は、基金に対し、予算で定める金額の範囲内において、本邦通貨により拠出することができる。</w:t>
      </w:r>
    </w:p>
    <w:p>
      <w:pPr>
        <w:pStyle w:val="Heading4"/>
      </w:pPr>
      <w:r>
        <w:t>第三条（国債による拠出）</w:t>
      </w:r>
    </w:p>
    <w:p>
      <w:r>
        <w:t>政府は、前条の規定により基金に拠出する本邦通貨に代えて、その全部又は一部を国債で拠出することができる。</w:t>
      </w:r>
    </w:p>
    <w:p>
      <w:pPr>
        <w:pStyle w:val="Heading5"/>
        <w:ind w:left="440"/>
      </w:pPr>
      <w:r>
        <w:t>２</w:t>
      </w:r>
    </w:p>
    <w:p>
      <w:pPr>
        <w:ind w:left="440"/>
      </w:pPr>
      <w:r>
        <w:t>前項の規定により拠出するため、政府は、必要な額を限度として国債を発行することができる。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日本銀行は、日本銀行法（平成九年法律第八十九号）第四十三条第一項（他業の禁止）の規定にかかわらず、基金の保有する本邦通貨その他の資産の寄託所としての業務を行うものとする。</w:t>
      </w:r>
    </w:p>
    <w:p>
      <w:r>
        <w:br w:type="page"/>
      </w:r>
    </w:p>
    <w:p>
      <w:pPr>
        <w:pStyle w:val="Heading1"/>
      </w:pPr>
      <w:r>
        <w:t>附　則</w:t>
      </w:r>
    </w:p>
    <w:p>
      <w:r>
        <w:t>この法律は、公布の日又は平成二十七年四月一日のいずれか遅い日から施行する。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緑の気候基金への拠出及びこれに伴う措置に関する法律</w:t>
      <w:br/>
      <w:tab/>
      <w:t>（平成二十七年法律第二十四号）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緑の気候基金への拠出及びこれに伴う措置に関する法律（平成二十七年法律第二十四号）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