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臨床検査技師学校養成所指定規則</w:t>
        <w:br/>
        <w:t>（昭和四十五年文部省・厚生省令第三号）</w:t>
      </w:r>
    </w:p>
    <w:p>
      <w:pPr>
        <w:pStyle w:val="Heading4"/>
      </w:pPr>
      <w:r>
        <w:t>第一条（この省令の趣旨）</w:t>
      </w:r>
    </w:p>
    <w:p>
      <w:r>
        <w:t>臨床検査技師等に関する法律（昭和三十三年法律第七十六号。以下「法」という。）第十五条第一号の規定に基づく学校又は臨床検査技師養成所（以下「養成所」という。）の指定に関しては、臨床検査技師等に関する法律施行令（昭和三十三年政令第二百二十六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第二条（指定基準）</w:t>
      </w:r>
    </w:p>
    <w:p>
      <w:r>
        <w:t>令第十条第一項の主務省令で定める基準は、次のとおりとする。</w:t>
      </w:r>
    </w:p>
    <w:p>
      <w:pPr>
        <w:pStyle w:val="Heading6"/>
        <w:ind w:left="880"/>
      </w:pPr>
      <w:r>
        <w:t>一</w:t>
      </w:r>
    </w:p>
    <w:p>
      <w:pPr>
        <w:ind w:left="880"/>
      </w:pPr>
      <w:r>
        <w:t>学校教育法第九十条第一項に規定する者（法第十五条第一号に規定する文部科学大臣の指定を受けようとする学校が大学である場合において、当該大学が学校教育法第九十条第二項の規定により当該大学に入学させた者を含む。）、旧中等学校令（昭和十八年勅令第三十六号）による中等学校を卒業した者又は次条各号のいずれかに該当する者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教育の内容は、別表に定めるもの以上であること。</w:t>
      </w:r>
    </w:p>
    <w:p>
      <w:pPr>
        <w:pStyle w:val="Heading6"/>
        <w:ind w:left="880"/>
      </w:pPr>
      <w:r>
        <w:t>四</w:t>
      </w:r>
    </w:p>
    <w:p>
      <w:pPr>
        <w:ind w:left="880"/>
      </w:pPr>
      <w:r>
        <w:t>別表に掲げる各教育内容を教授するのに適当な数の教員を有し、かつ、そのうち六人（一学年に二学級以上を有する学校又は養成所にあつては、一学級増すごとに三を加えた数）以上は、医師、臨床検査技師又はこれと同等以上の学識経験を有する者（以下「医師等」という。）である専任教員であること。</w:t>
      </w:r>
    </w:p>
    <w:p>
      <w:pPr>
        <w:pStyle w:val="Heading6"/>
        <w:ind w:left="880"/>
      </w:pPr>
      <w:r>
        <w:t>五</w:t>
      </w:r>
    </w:p>
    <w:p>
      <w:pPr>
        <w:ind w:left="880"/>
      </w:pPr>
      <w:r>
        <w:t>医師等である専任教員のうち少なくとも三人は、免許を受けた後五年以上法第二条に規定する業務を業として行つた臨床検査技師（以下「業務経験五年以上の臨床検査技師」という。）であること。</w:t>
      </w:r>
    </w:p>
    <w:p>
      <w:pPr>
        <w:pStyle w:val="Heading6"/>
        <w:ind w:left="880"/>
      </w:pPr>
      <w:r>
        <w:t>六</w:t>
      </w:r>
    </w:p>
    <w:p>
      <w:pPr>
        <w:ind w:left="880"/>
      </w:pPr>
      <w:r>
        <w:t>一学級の定員は、十人以上四十人以下であること。</w:t>
      </w:r>
    </w:p>
    <w:p>
      <w:pPr>
        <w:pStyle w:val="Heading6"/>
        <w:ind w:left="880"/>
      </w:pPr>
      <w:r>
        <w:t>七</w:t>
      </w:r>
    </w:p>
    <w:p>
      <w:pPr>
        <w:ind w:left="880"/>
      </w:pPr>
      <w:r>
        <w:t>同時に授業を行なう学級の数を下らない数の専用の普通教室を有すること。</w:t>
      </w:r>
    </w:p>
    <w:p>
      <w:pPr>
        <w:pStyle w:val="Heading6"/>
        <w:ind w:left="880"/>
      </w:pPr>
      <w:r>
        <w:t>八</w:t>
      </w:r>
    </w:p>
    <w:p>
      <w:pPr>
        <w:ind w:left="880"/>
      </w:pPr>
      <w:r>
        <w:t>適当な広さの専用の実習室及び図書室を有すること。</w:t>
      </w:r>
    </w:p>
    <w:p>
      <w:pPr>
        <w:pStyle w:val="Heading6"/>
        <w:ind w:left="880"/>
      </w:pPr>
      <w:r>
        <w:t>九</w:t>
      </w:r>
    </w:p>
    <w:p>
      <w:pPr>
        <w:ind w:left="880"/>
      </w:pPr>
      <w:r>
        <w:t>教育上必要な機械器具、標本、模型、図書及びその他の設備を有すること。</w:t>
      </w:r>
    </w:p>
    <w:p>
      <w:pPr>
        <w:pStyle w:val="Heading6"/>
        <w:ind w:left="880"/>
      </w:pPr>
      <w:r>
        <w:t>十</w:t>
      </w:r>
    </w:p>
    <w:p>
      <w:pPr>
        <w:ind w:left="880"/>
      </w:pPr>
      <w:r>
        <w:t>臨地実習を行うのに適当な施設を実習施設として利用しうること及び当該実習について適当な実習指導者の指導が行われること。</w:t>
      </w:r>
    </w:p>
    <w:p>
      <w:pPr>
        <w:pStyle w:val="Heading6"/>
        <w:ind w:left="880"/>
      </w:pPr>
      <w:r>
        <w:t>十一</w:t>
      </w:r>
    </w:p>
    <w:p>
      <w:pPr>
        <w:ind w:left="880"/>
      </w:pPr>
      <w:r>
        <w:t>専任の事務職員を有すること。</w:t>
      </w:r>
    </w:p>
    <w:p>
      <w:pPr>
        <w:pStyle w:val="Heading6"/>
        <w:ind w:left="880"/>
      </w:pPr>
      <w:r>
        <w:t>十二</w:t>
      </w:r>
    </w:p>
    <w:p>
      <w:pPr>
        <w:ind w:left="880"/>
      </w:pPr>
      <w:r>
        <w:t>管理及び維持経営の方法が確実であること。</w:t>
      </w:r>
    </w:p>
    <w:p>
      <w:pPr>
        <w:pStyle w:val="Heading4"/>
      </w:pPr>
      <w:r>
        <w:t>第三条（中等学校を卒業した者と同等以上の学力があると認められる者）</w:t>
      </w:r>
    </w:p>
    <w:p>
      <w:r>
        <w:t>法附則第四項の中等学校を卒業した者と同等以上の学力があると認められる者は、次のとおりとする。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による高等女学校卒業を入学資格とする旧中等学校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又は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旧高等試験令（昭和四年勅令第十五号）第七条の規定により文部大臣が中学校卒業程度において行なう試験に合格した者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前各号に掲げる者のほか、文部科学大臣において学校又は養成所の入学又は入所に関し中等学校の卒業者と同等以上の学力を有するものと指定した者</w:t>
      </w:r>
    </w:p>
    <w:p>
      <w:pPr>
        <w:pStyle w:val="Heading4"/>
      </w:pPr>
      <w:r>
        <w:t>第三条の二（指定に関する報告事項）</w:t>
      </w:r>
    </w:p>
    <w:p>
      <w:r>
        <w:t>令第十条第二項の主務省令で定める事項は、次に掲げる事項（国の設置する養成所にあつては、第一号に掲げる事項を除く。）とする。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学則（修業年限及び入所定員に関する事項に限る。）</w:t>
      </w:r>
    </w:p>
    <w:p>
      <w:pPr>
        <w:pStyle w:val="Heading6"/>
        <w:ind w:left="880"/>
      </w:pPr>
      <w:r>
        <w:t>六</w:t>
      </w:r>
    </w:p>
    <w:p>
      <w:pPr>
        <w:ind w:left="880"/>
      </w:pPr>
      <w:r>
        <w:t>長の氏名</w:t>
      </w:r>
    </w:p>
    <w:p>
      <w:pPr>
        <w:pStyle w:val="Heading4"/>
      </w:pPr>
      <w:r>
        <w:t>第四条（指定の申請書の記載事項等）</w:t>
      </w:r>
    </w:p>
    <w:p>
      <w:r>
        <w:t>令第十一条の申請書には、次に掲げる事項（地方公共団体（地方独立行政法人法（平成十五年法律第百十八号）第六十八条第一項に規定する公立大学法人を含む。）の設置する学校又は養成所にあつては、第十一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教授用及び実習用の機械器具、標本、模型及び図書の目録</w:t>
      </w:r>
    </w:p>
    <w:p>
      <w:pPr>
        <w:pStyle w:val="Heading6"/>
        <w:ind w:left="880"/>
      </w:pPr>
      <w:r>
        <w:t>十</w:t>
      </w:r>
    </w:p>
    <w:p>
      <w:pPr>
        <w:ind w:left="880"/>
      </w:pPr>
      <w:r>
        <w:t>実習施設の名称、位置及び開設者の氏名（法人にあつては、名称）並びに当該施設における実習用設備の概要</w:t>
      </w:r>
    </w:p>
    <w:p>
      <w:pPr>
        <w:pStyle w:val="Heading6"/>
        <w:ind w:left="880"/>
      </w:pPr>
      <w:r>
        <w:t>十一</w:t>
      </w:r>
    </w:p>
    <w:p>
      <w:pPr>
        <w:ind w:left="880"/>
      </w:pPr>
      <w:r>
        <w:t>収支予算及び向こう二年間の財政計画</w:t>
      </w:r>
    </w:p>
    <w:p>
      <w:pPr>
        <w:pStyle w:val="Heading5"/>
        <w:ind w:left="440"/>
      </w:pPr>
      <w:r>
        <w:t>２</w:t>
      </w:r>
    </w:p>
    <w:p>
      <w:pPr>
        <w:ind w:left="440"/>
      </w:pPr>
      <w:r>
        <w:t>令第十七条の規定により読み替えて適用する令第十一条の書面には、前項第二号から第十号までに掲げる事項を記載しなければならない。</w:t>
      </w:r>
    </w:p>
    <w:p>
      <w:pPr>
        <w:pStyle w:val="Heading5"/>
        <w:ind w:left="440"/>
      </w:pPr>
      <w:r>
        <w:t>３</w:t>
      </w:r>
    </w:p>
    <w:p>
      <w:pPr>
        <w:ind w:left="440"/>
      </w:pPr>
      <w:r>
        <w:t>第一項の申請書又は前項の書面には、実習施設における実習を承諾する旨の当該施設の開設者の承諾書を添えなければならない。</w:t>
      </w:r>
    </w:p>
    <w:p>
      <w:pPr>
        <w:pStyle w:val="Heading4"/>
      </w:pPr>
      <w:r>
        <w:t>第五条（変更の承認又は届出を要する事項）</w:t>
      </w:r>
    </w:p>
    <w:p>
      <w:r>
        <w:t>令第十二条第一項（令第十七条の規定により読み替えて適用する場合を含む。）の主務省令で定める事項は、前条第一項第五号に掲げる事項（修業年限、教育課程及び入学定員又は入所定員に関する事項に限る。）若しくは同項第八号に掲げる事項又は実習施設とする。</w:t>
      </w:r>
    </w:p>
    <w:p>
      <w:pPr>
        <w:pStyle w:val="Heading5"/>
        <w:ind w:left="440"/>
      </w:pPr>
      <w:r>
        <w:t>２</w:t>
      </w:r>
    </w:p>
    <w:p>
      <w:pPr>
        <w:ind w:left="440"/>
      </w:pPr>
      <w:r>
        <w:t>令第十二条第一項の規定による実習施設の変更の承認の申請又は令第十七条の規定により読み替えて適用する令第十二条第一項の規定による実習施設の変更の協議の申出には、前条第三項に定める書類を添えなければならない。</w:t>
      </w:r>
    </w:p>
    <w:p>
      <w:pPr>
        <w:pStyle w:val="Heading5"/>
        <w:ind w:left="440"/>
      </w:pPr>
      <w:r>
        <w:t>３</w:t>
      </w:r>
    </w:p>
    <w:p>
      <w:pPr>
        <w:ind w:left="440"/>
      </w:pPr>
      <w:r>
        <w:t>令第十二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４</w:t>
      </w:r>
    </w:p>
    <w:p>
      <w:pPr>
        <w:ind w:left="440"/>
      </w:pPr>
      <w:r>
        <w:t>令第十七条の規定により読み替えて適用する令第十二条第二項の主務省令で定める事項は、前条第一項第二号若しくは第三号又は同項第五号に掲げる事項とする。</w:t>
      </w:r>
    </w:p>
    <w:p>
      <w:pPr>
        <w:pStyle w:val="Heading4"/>
      </w:pPr>
      <w:r>
        <w:t>第五条の二（変更の承認又は届出に関する報告）</w:t>
      </w:r>
    </w:p>
    <w:p>
      <w:r>
        <w:t>令第十二条第三項（令第十七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変更の承認に係る事項（第四条第一項第八号に掲げる事項及び実習施設を除く。）</w:t>
      </w:r>
    </w:p>
    <w:p>
      <w:pPr>
        <w:pStyle w:val="Heading6"/>
        <w:ind w:left="880"/>
      </w:pPr>
      <w:r>
        <w:t>二</w:t>
      </w:r>
    </w:p>
    <w:p>
      <w:pPr>
        <w:ind w:left="880"/>
      </w:pPr>
      <w:r>
        <w:t>変更の届出又は通知に係る事項</w:t>
      </w:r>
    </w:p>
    <w:p>
      <w:pPr>
        <w:pStyle w:val="Heading4"/>
      </w:pPr>
      <w:r>
        <w:t>第六条（報告を要する事項）</w:t>
      </w:r>
    </w:p>
    <w:p>
      <w:r>
        <w:t>令第十三条第一項（令第十七条の規定により読み替えて適用する場合を含む。）の主務省令で定める事項は、次のとおりとする。</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5"/>
        <w:ind w:left="440"/>
      </w:pPr>
      <w:r>
        <w:t>２</w:t>
      </w:r>
    </w:p>
    <w:p>
      <w:pPr>
        <w:ind w:left="440"/>
      </w:pPr>
      <w:r>
        <w:t>令第十三条第二項（令第十七条の規定により読み替えて適用する場合を含む。）の主務省令で定める事項は、前項第二号に掲げる事項とする。</w:t>
      </w:r>
    </w:p>
    <w:p>
      <w:pPr>
        <w:pStyle w:val="Heading4"/>
      </w:pPr>
      <w:r>
        <w:t>第六条の二（指定の取消しに関する報告事項）</w:t>
      </w:r>
    </w:p>
    <w:p>
      <w:r>
        <w:t>令第十五条第二項の主務省令で定める事項は、次に掲げる事項（国の設置する養成所にあつては、第一号に掲げる事項を除く。）とする。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第七条（指定取消しの申請書等の記載事項）</w:t>
      </w:r>
    </w:p>
    <w:p>
      <w:r>
        <w:t>令第十六条の申請書又は令第十七条の規定により読み替えて適用する令第十六条の書面には、次に掲げる事項を記載しなければならない。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r>
        <w:br w:type="page"/>
      </w:r>
    </w:p>
    <w:p>
      <w:pPr>
        <w:pStyle w:val="Heading1"/>
      </w:pPr>
      <w:r>
        <w:t>附　則</w:t>
      </w:r>
    </w:p>
    <w:p>
      <w:r>
        <w:t>この省令は、昭和四十六年一月一日から施行する。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則（昭和六一年四月一〇日文部省・厚生省令第二号）</w:t>
      </w:r>
    </w:p>
    <w:p>
      <w:r>
        <w:t>この省令は、公布の日から施行する。</w:t>
      </w:r>
    </w:p>
    <w:p>
      <w:pPr>
        <w:pStyle w:val="Heading5"/>
        <w:ind w:left="440"/>
      </w:pPr>
      <w:r>
        <w:t>２</w:t>
      </w:r>
    </w:p>
    <w:p>
      <w:pPr>
        <w:ind w:left="440"/>
      </w:pPr>
      <w:r>
        <w:t>この省令の施行の際現に臨床検査技師、衛生検査技師等に関する法律（昭和三十三年法律第七十六号）第十五条第一号の規定に基づく指定を受けている学校又は養成所に昭和六十二年三月三十一日以前に入学又は入所した者に係る教育の内容については、この省令による改正後の別表の規定にかかわらず、なお従前の例によ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則（平成一二年三月七日文部省・厚生省令第一号）</w:t>
      </w:r>
    </w:p>
    <w:p>
      <w:r>
        <w:t>この省令は、平成十二年四月一日から施行する。</w:t>
      </w:r>
    </w:p>
    <w:p>
      <w:pPr>
        <w:pStyle w:val="Heading5"/>
        <w:ind w:left="440"/>
      </w:pPr>
      <w:r>
        <w:t>２</w:t>
      </w:r>
    </w:p>
    <w:p>
      <w:pPr>
        <w:ind w:left="440"/>
      </w:pPr>
      <w:r>
        <w:t>この省令の施行の際現に指定を受けている学校又は臨床検査技師養成所及び臨床検査技師学校養成所指定規則第二条の規定により主務大臣に対して行われている申請に係る学校又は臨床検査技師養成所がこの省令による改正後の第四条第四号の規定により有すべき専任教員の数及び要件については、同号の規定にかかわらず、平成十七年三月三十一日までの間は、なお従前の例によることができる。</w:t>
      </w:r>
    </w:p>
    <w:p>
      <w:pPr>
        <w:pStyle w:val="Heading5"/>
        <w:ind w:left="440"/>
      </w:pPr>
      <w:r>
        <w:t>３</w:t>
      </w:r>
    </w:p>
    <w:p>
      <w:pPr>
        <w:ind w:left="440"/>
      </w:pPr>
      <w:r>
        <w:t>この省令の施行の際現に指定を受けている学校又は臨床検査技師養成所及び臨床検査技師学校養成所指定規則第二条の規定により主務大臣に対して行われている申請に係る学校又は臨床検査技師養成所がこの省令による改正後の第四条第五号の規定により有すべき専任教員の数及び要件については、同号の規定にかかわらず、平成十四年三月三十一日までの間は、なお従前の例によることができる。</w:t>
      </w:r>
    </w:p>
    <w:p>
      <w:pPr>
        <w:pStyle w:val="Heading5"/>
        <w:ind w:left="440"/>
      </w:pPr>
      <w:r>
        <w:t>４</w:t>
      </w:r>
    </w:p>
    <w:p>
      <w:pPr>
        <w:ind w:left="440"/>
      </w:pPr>
      <w:r>
        <w:t>この省令の施行の際現に指定を受けている学校又は臨床検査技師養成所において臨床検査技師として必要な知識及び技能を修得中の者に係る教育の内容については、この省令による改正後の別表の規定にかかわらず、なお従前の例によることができ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則（平成二七年二月一二日文部科学省・厚生労働省令第一号）</w:t>
      </w:r>
    </w:p>
    <w:p>
      <w:r>
        <w:t>この省令は、平成二十七年四月一日から施行する。</w:t>
      </w:r>
    </w:p>
    <w:p>
      <w:pPr>
        <w:pStyle w:val="Heading5"/>
        <w:ind w:left="440"/>
      </w:pPr>
      <w:r>
        <w:t>２</w:t>
      </w:r>
    </w:p>
    <w:p>
      <w:pPr>
        <w:ind w:left="440"/>
      </w:pPr>
      <w:r>
        <w:t>この省令の施行の際現に指定を受けている学校又は養成所において診療放射線技師又は臨床検査技師として必要な知識及び技能を修得中の者に係る教育の内容については、第一条による改正後の診療放射線技師学校養成所指定規則別表第一及び第二条による改正後の臨床検査技師学校養成所指定規則別表の規定にかかわらず、なお従前の例によることができ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臨床検査技師学校養成所指定規則</w:t>
      <w:br/>
      <w:tab/>
      <w:t>（昭和四十五年文部省・厚生省令第三号）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臨床検査技師学校養成所指定規則（昭和四十五年文部省・厚生省令第三号）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